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b/>
          <w:bCs/>
          <w:szCs w:val="28"/>
        </w:rPr>
        <w:t>Формы муниципальной поддержки инвестиционной деятельности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proofErr w:type="gramStart"/>
      <w:r w:rsidRPr="006A1B2C">
        <w:rPr>
          <w:szCs w:val="28"/>
        </w:rPr>
        <w:t>Согласно статьи</w:t>
      </w:r>
      <w:proofErr w:type="gramEnd"/>
      <w:r w:rsidRPr="006A1B2C">
        <w:rPr>
          <w:szCs w:val="28"/>
        </w:rPr>
        <w:t xml:space="preserve"> 3 Положения об инвестиционной деятельности на территории муниципального образования городского округа город-курорт Кисловодск, утвержденного решением Думы города-курорта Кисловодска от 26.10.2016 № 17-516</w:t>
      </w:r>
      <w:r w:rsidR="00046AD4">
        <w:rPr>
          <w:szCs w:val="28"/>
        </w:rPr>
        <w:t xml:space="preserve"> (СКАЧАТЬ</w:t>
      </w:r>
      <w:bookmarkStart w:id="0" w:name="_GoBack"/>
      <w:bookmarkEnd w:id="0"/>
      <w:r w:rsidR="00046AD4">
        <w:rPr>
          <w:szCs w:val="28"/>
        </w:rPr>
        <w:t>)</w:t>
      </w:r>
      <w:r w:rsidRPr="006A1B2C">
        <w:rPr>
          <w:szCs w:val="28"/>
        </w:rPr>
        <w:t>, муниципальная поддержка инвестиционной деятельности может предоставляться администрацией города-курорта Кисловодска в следующих формах: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>1) нефинансовых мер поддержки инвестиционной деятельности;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>а) поддержка (направление) ходатайства и обращений в органы государственной власти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Ставропольского края;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>б) распространение информации о субъекте инвестиционной деятельности;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proofErr w:type="gramStart"/>
      <w:r w:rsidRPr="006A1B2C">
        <w:rPr>
          <w:szCs w:val="28"/>
        </w:rPr>
        <w:t>2) консультационного и информационного обеспечения инвестиционной деятельности;</w:t>
      </w:r>
      <w:r w:rsidRPr="006A1B2C">
        <w:rPr>
          <w:szCs w:val="28"/>
        </w:rPr>
        <w:br/>
        <w:t>а) обеспечение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</w:t>
      </w:r>
      <w:r w:rsidRPr="006A1B2C">
        <w:rPr>
          <w:szCs w:val="28"/>
        </w:rPr>
        <w:br/>
        <w:t>б) содействие в повышении правовой культуры инвестиционной деятельности, в поиске деловых партнеров на территории муниципального образования;</w:t>
      </w:r>
      <w:r w:rsidRPr="006A1B2C">
        <w:rPr>
          <w:szCs w:val="28"/>
        </w:rPr>
        <w:br/>
        <w:t>в) формирование информационной базы данных о состоянии и развитии инвестиционной деятельности на территории муниципального образования;</w:t>
      </w:r>
      <w:proofErr w:type="gramEnd"/>
      <w:r w:rsidRPr="006A1B2C">
        <w:rPr>
          <w:szCs w:val="28"/>
        </w:rPr>
        <w:br/>
        <w:t>г) формирование инвестиционного имиджа муниципального образования;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proofErr w:type="gramStart"/>
      <w:r w:rsidRPr="006A1B2C">
        <w:rPr>
          <w:szCs w:val="28"/>
        </w:rPr>
        <w:t>3) предоставление субъектам инвестиционной деятельности не противоречащих законодательству Российской Федераций, Ставропольского края, муниципальным правовым актам муниципального образования льготных условий пользования землей, находящейся в муниципальной собственности муниципального образования для реализации инвестиционных проектов, которые соответствуют приоритетным направлениям инвестиционной деятельности на территории муниципального образования.</w:t>
      </w:r>
      <w:proofErr w:type="gramEnd"/>
      <w:r w:rsidRPr="006A1B2C">
        <w:rPr>
          <w:szCs w:val="28"/>
        </w:rPr>
        <w:t xml:space="preserve"> Льгота по арендной плате предоставляется на срок реализации инвестиционного проекта, предусмотренного инвестиционным соглашением.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>4) вовлечения в инвестиционный процесс временно приостановленных свободных объектов, находящихся в муниципальной собственности муниципального образования;</w:t>
      </w:r>
    </w:p>
    <w:p w:rsidR="006A1B2C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>5) иных, предусмотренных законодательством Российской Федерации и Ставропольского края, муниципальными правовыми актами муниципального образования форм муниципальной поддержки инвестиционной деятельности.</w:t>
      </w:r>
      <w:r w:rsidRPr="006A1B2C">
        <w:rPr>
          <w:szCs w:val="28"/>
        </w:rPr>
        <w:br/>
        <w:t xml:space="preserve">Для получения муниципальной поддержки субъект инвестиционной </w:t>
      </w:r>
      <w:r w:rsidRPr="006A1B2C">
        <w:rPr>
          <w:szCs w:val="28"/>
        </w:rPr>
        <w:lastRenderedPageBreak/>
        <w:t>деятельности должен удовлетворять в сово</w:t>
      </w:r>
      <w:r w:rsidR="006A1B2C" w:rsidRPr="006A1B2C">
        <w:rPr>
          <w:szCs w:val="28"/>
        </w:rPr>
        <w:t xml:space="preserve">купности следующим обязательным требованиям: 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>1) осуществлять инвестиции в виде капитальных вложений на территории муниципального образования в рамках реализации инвестиционных проектов, соответствующих приоритетным направлениям инвестиционной деятельности, указанных в Перечне приоритетных направлений инвестиционной деятельности на территории города – курорта Кисловодска на 2016 – 2020 годы, утверждённом Решением Думы города-курорта Кисловодска от 23 ноября 2016 года № 27-516;</w:t>
      </w:r>
      <w:r w:rsidRPr="006A1B2C">
        <w:rPr>
          <w:szCs w:val="28"/>
        </w:rPr>
        <w:br/>
        <w:t>2) не иметь задолженности по платежам в бюджеты всех уровней, внебюджетные фонды, что поддерживается справками налогового органа;</w:t>
      </w:r>
      <w:r w:rsidRPr="006A1B2C">
        <w:rPr>
          <w:szCs w:val="28"/>
        </w:rPr>
        <w:br/>
        <w:t>3) не должен находиться в стадии банкротства, ликвидации или реорганизации;</w:t>
      </w:r>
    </w:p>
    <w:p w:rsidR="008C0505" w:rsidRPr="006A1B2C" w:rsidRDefault="008C0505" w:rsidP="006A1B2C">
      <w:pPr>
        <w:spacing w:line="240" w:lineRule="auto"/>
        <w:ind w:firstLine="567"/>
        <w:rPr>
          <w:szCs w:val="28"/>
        </w:rPr>
      </w:pPr>
      <w:r w:rsidRPr="006A1B2C">
        <w:rPr>
          <w:szCs w:val="28"/>
        </w:rPr>
        <w:t xml:space="preserve">В настоящее время главным инструментом привлечения инвестиций в проекты, которые соответствуют приоритетным направлениям инвестиционной деятельности на территории города-курорта Кисловодска, является предоставление льготы инвесторам по арендной плате за пользование земельными участками на период реализации инвестиционных проектов. </w:t>
      </w:r>
      <w:proofErr w:type="gramStart"/>
      <w:r w:rsidRPr="006A1B2C">
        <w:rPr>
          <w:szCs w:val="28"/>
        </w:rPr>
        <w:t>В соответствии с решением Думы города-курорта Кисловодска № 157-415 от 28.12.2015 «Об установлении льготной арендной ставки за пользование земельными участками, находящимися в муниципальной собственности города-курорта Кисловодска и используемые для реализации инвестиционных проектов, которые соответствуют приоритетным направлениям инвестиционной деятельности на территории города-курорта Кисловодска», установлена льготная арендная ставка за использование земельными участками, находящимися под вышеупомянутыми объектами в размере 95% от действующей ставки арендной</w:t>
      </w:r>
      <w:proofErr w:type="gramEnd"/>
      <w:r w:rsidRPr="006A1B2C">
        <w:rPr>
          <w:szCs w:val="28"/>
        </w:rPr>
        <w:t xml:space="preserve"> платы на землю. Льгота по арендной плате предоставляется администрацией города-курорта Кисловодска на срок реализации инвестиционного проекта (не более 7 лет), предусмотренного инвестиционным соглашением.</w:t>
      </w:r>
    </w:p>
    <w:p w:rsidR="00992D97" w:rsidRPr="006A1B2C" w:rsidRDefault="00992D97" w:rsidP="006A1B2C">
      <w:pPr>
        <w:spacing w:line="240" w:lineRule="auto"/>
        <w:ind w:firstLine="567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Default="006A1B2C" w:rsidP="006A1B2C">
      <w:pPr>
        <w:spacing w:line="240" w:lineRule="auto"/>
        <w:rPr>
          <w:szCs w:val="28"/>
        </w:rPr>
      </w:pPr>
    </w:p>
    <w:p w:rsidR="006A1B2C" w:rsidRPr="006A1B2C" w:rsidRDefault="006A1B2C" w:rsidP="006A1B2C">
      <w:pPr>
        <w:spacing w:line="240" w:lineRule="auto"/>
        <w:rPr>
          <w:szCs w:val="28"/>
        </w:rPr>
      </w:pP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Предоставление финансовой поддержки инвесторам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color w:val="000000"/>
          <w:kern w:val="24"/>
          <w:sz w:val="28"/>
          <w:szCs w:val="28"/>
        </w:rPr>
      </w:pP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1B2C">
        <w:rPr>
          <w:color w:val="000000"/>
          <w:kern w:val="24"/>
          <w:sz w:val="28"/>
          <w:szCs w:val="28"/>
        </w:rPr>
        <w:t>Постановлением администрации города-курорта Кисловодска утвержден Порядок проведения экспертизы инвестиционных проектов и заключения инвестиционных соглашений от 10.01.2017 №1 (СКАЧАТЬ) (далее по тексту – Порядок) с целью предоставления льготы по арендной плате в размере 95% за пользование землей, находящейся в муниципальной собственности города-курорта Кисловодска, для реализации инвестиционных проектов, которые соответствуют приоритетным направлениям инвестиционной деятельности на территории города-курорта Кисловодска.</w:t>
      </w:r>
      <w:proofErr w:type="gramEnd"/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kern w:val="24"/>
          <w:sz w:val="28"/>
          <w:szCs w:val="28"/>
        </w:rPr>
      </w:pPr>
      <w:r w:rsidRPr="006A1B2C">
        <w:rPr>
          <w:b/>
          <w:bCs/>
          <w:color w:val="000000"/>
          <w:kern w:val="24"/>
          <w:sz w:val="28"/>
          <w:szCs w:val="28"/>
        </w:rPr>
        <w:t>Порядок и условия предоставления финансовой поддержки.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6A1B2C">
        <w:rPr>
          <w:color w:val="000000"/>
          <w:kern w:val="24"/>
          <w:sz w:val="28"/>
          <w:szCs w:val="28"/>
        </w:rPr>
        <w:t>Инвестору, претендующему на заключение инвестиционного соглашения, необходимо направить в администрацию города-курорта Кисловодска официальный запрос о предоставлении финансовой поддержки с приложением следующих документов: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color w:val="000000"/>
          <w:kern w:val="24"/>
          <w:sz w:val="28"/>
          <w:szCs w:val="28"/>
        </w:rPr>
        <w:t>1) паспорт инвестиционного проекта (СКАЧАТЬ), инвестиционная направленность которого соответствует приоритетным направлениям инвестиционной деятельности на территории города-курорта Кисловодска (СКАЧАТЬ);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color w:val="000000"/>
          <w:kern w:val="24"/>
          <w:sz w:val="28"/>
          <w:szCs w:val="28"/>
        </w:rPr>
        <w:t>2) копии учредительных документов и документы, подтверждающие полномочия руководителя или иного уполномоченного лица инвестора (для юридического лица);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color w:val="000000"/>
          <w:kern w:val="24"/>
          <w:sz w:val="28"/>
          <w:szCs w:val="28"/>
        </w:rPr>
        <w:t>3) копия документа, удостоверяющего личность гражданина Российской Федерации (для индивидуального предпринимателя);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1B2C">
        <w:rPr>
          <w:rFonts w:eastAsia="+mn-ea"/>
          <w:color w:val="000000"/>
          <w:kern w:val="24"/>
          <w:sz w:val="28"/>
          <w:szCs w:val="28"/>
        </w:rPr>
        <w:t>4) копии годовой бухгалтерской (финансовой) отчетности за последние 2 финансовых года или за весь период деятельности инвестора (в случае, если инвестор создан менее 2 финансовых года назад), состоящей из отчета о финансовых результатах, бухгалтерского баланса и приложений к нему (с отметкой или отчетом налогового органа об их принятии);</w:t>
      </w:r>
      <w:proofErr w:type="gramEnd"/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5) документы, подтверждающие наличие у инвестора сре</w:t>
      </w:r>
      <w:proofErr w:type="gramStart"/>
      <w:r w:rsidRPr="006A1B2C">
        <w:rPr>
          <w:rFonts w:eastAsia="+mn-ea"/>
          <w:color w:val="000000"/>
          <w:kern w:val="24"/>
          <w:sz w:val="28"/>
          <w:szCs w:val="28"/>
        </w:rPr>
        <w:t>дств дл</w:t>
      </w:r>
      <w:proofErr w:type="gramEnd"/>
      <w:r w:rsidRPr="006A1B2C">
        <w:rPr>
          <w:rFonts w:eastAsia="+mn-ea"/>
          <w:color w:val="000000"/>
          <w:kern w:val="24"/>
          <w:sz w:val="28"/>
          <w:szCs w:val="28"/>
        </w:rPr>
        <w:t>я реализации инвестиционного проекта (выписка по операциям на банковском счете инвестора, протокол о намерениях, кредитный договор, предварительное соглашение с кредитным учреждением о выдаче кредита либо об открытии кредитной линии);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6) сведения о наличии прав пользования земельными участками для реализации инвестиционного проекта;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7) бизнес-план (финансовый план) инвестиционного проекта с расчетом бюджетной эффективности;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8) согласие налогоплательщика на доступ к сведениям, составляющим налоговую тайну (о суммах начисленных и уплаченных сумм налогов) в соответствии с пунктом 1 статьи 102 Налогового кодекса Российской Федерации;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9) справка с указанием предполагаемых объемов инвестиций, и чистой прибыли от реализации инвестиционного проекта, а также сроков реализации и окупаемости инвестиционного проекта;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1B2C">
        <w:rPr>
          <w:rFonts w:eastAsia="+mn-ea"/>
          <w:color w:val="000000"/>
          <w:kern w:val="24"/>
          <w:sz w:val="28"/>
          <w:szCs w:val="28"/>
        </w:rPr>
        <w:t>10) сведения о суммах налоговых поступлений, предполагаемых к уплате в бюджет города-курорта Кисловодска, в том числе расчет уплаты налога на доходы физических лиц, с указанием среднесписочной численности работников (по категориям работающих) и среднемесячной заработной платы всех работников инвестора и общего фонда оплаты труда без учета реализации инвестиционного проекта и с учетом его реализации за весь период предоставления муниципальной поддержки.</w:t>
      </w:r>
      <w:proofErr w:type="gramEnd"/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1B2C">
        <w:rPr>
          <w:rFonts w:eastAsia="+mn-ea"/>
          <w:color w:val="000000"/>
          <w:kern w:val="24"/>
          <w:sz w:val="28"/>
          <w:szCs w:val="28"/>
        </w:rPr>
        <w:t>Указанные документы должны быть пронумерованы и подписаны (заверены) руководителем юридического лица, осуществляющего реализацию инвестиционного проекта,  индивидуальным предпринимателем, осуществляющим реализацию инвестиционного проекта,  или иным уполномоченным на то лицом и скреплены печатью организации, индивидуального предпринимателя.</w:t>
      </w:r>
      <w:proofErr w:type="gramEnd"/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 xml:space="preserve">Обращение и прилагаемые документы должны быть направлены на бумажном носителе по адресу: 357700, г. Кисловодск, пр. Победы, 25, администрация города-курорта Кисловодска, с последующим дублированием на электронную почту </w:t>
      </w:r>
      <w:hyperlink r:id="rId5" w:history="1">
        <w:r w:rsidRPr="006A1B2C">
          <w:rPr>
            <w:rStyle w:val="a4"/>
            <w:rFonts w:eastAsia="+mn-ea"/>
            <w:color w:val="000000"/>
            <w:kern w:val="24"/>
            <w:sz w:val="28"/>
            <w:szCs w:val="28"/>
            <w:lang w:val="en-US"/>
          </w:rPr>
          <w:t>glava</w:t>
        </w:r>
        <w:r w:rsidRPr="006A1B2C">
          <w:rPr>
            <w:rStyle w:val="a4"/>
            <w:rFonts w:eastAsia="+mn-ea"/>
            <w:color w:val="000000"/>
            <w:kern w:val="24"/>
            <w:sz w:val="28"/>
            <w:szCs w:val="28"/>
          </w:rPr>
          <w:t>1@</w:t>
        </w:r>
        <w:r w:rsidRPr="006A1B2C">
          <w:rPr>
            <w:rStyle w:val="a4"/>
            <w:rFonts w:eastAsia="+mn-ea"/>
            <w:color w:val="000000"/>
            <w:kern w:val="24"/>
            <w:sz w:val="28"/>
            <w:szCs w:val="28"/>
            <w:lang w:val="en-US"/>
          </w:rPr>
          <w:t>bk</w:t>
        </w:r>
        <w:r w:rsidRPr="006A1B2C">
          <w:rPr>
            <w:rStyle w:val="a4"/>
            <w:rFonts w:eastAsia="+mn-ea"/>
            <w:color w:val="000000"/>
            <w:kern w:val="24"/>
            <w:sz w:val="28"/>
            <w:szCs w:val="28"/>
          </w:rPr>
          <w:t>.</w:t>
        </w:r>
        <w:r w:rsidRPr="006A1B2C">
          <w:rPr>
            <w:rStyle w:val="a4"/>
            <w:rFonts w:eastAsia="+mn-ea"/>
            <w:color w:val="000000"/>
            <w:kern w:val="24"/>
            <w:sz w:val="28"/>
            <w:szCs w:val="28"/>
            <w:lang w:val="en-US"/>
          </w:rPr>
          <w:t>ru</w:t>
        </w:r>
      </w:hyperlink>
      <w:r w:rsidRPr="006A1B2C">
        <w:rPr>
          <w:rFonts w:eastAsia="+mn-ea"/>
          <w:color w:val="000000"/>
          <w:kern w:val="24"/>
          <w:sz w:val="28"/>
          <w:szCs w:val="28"/>
        </w:rPr>
        <w:t xml:space="preserve"> или </w:t>
      </w:r>
      <w:hyperlink r:id="rId6" w:history="1">
        <w:r w:rsidRPr="006A1B2C">
          <w:rPr>
            <w:rStyle w:val="a4"/>
            <w:rFonts w:eastAsia="+mn-ea"/>
            <w:color w:val="000000"/>
            <w:kern w:val="24"/>
            <w:sz w:val="28"/>
            <w:szCs w:val="28"/>
          </w:rPr>
          <w:t>economisty@bk.ru</w:t>
        </w:r>
      </w:hyperlink>
      <w:r w:rsidRPr="006A1B2C">
        <w:rPr>
          <w:rFonts w:eastAsia="+mn-ea"/>
          <w:color w:val="000000"/>
          <w:kern w:val="24"/>
          <w:sz w:val="28"/>
          <w:szCs w:val="28"/>
        </w:rPr>
        <w:t>.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Полученные обращения будут рассмотрены структурными подразделениями администрации города-курорта Кисловодска в установленные законом сроки. К рассмотрению принимается пакет документов, представленный инвестором в соответствии с настоящим Порядком.</w:t>
      </w:r>
    </w:p>
    <w:p w:rsidR="006A1B2C" w:rsidRPr="006A1B2C" w:rsidRDefault="006A1B2C" w:rsidP="006A1B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1B2C">
        <w:rPr>
          <w:rFonts w:eastAsia="+mn-ea"/>
          <w:color w:val="000000"/>
          <w:kern w:val="24"/>
          <w:sz w:val="28"/>
          <w:szCs w:val="28"/>
        </w:rPr>
        <w:t>Ответственность за достоверность предоставленных сведений несет инвестор.</w:t>
      </w:r>
    </w:p>
    <w:p w:rsidR="006A1B2C" w:rsidRPr="006A1B2C" w:rsidRDefault="006A1B2C" w:rsidP="006A1B2C">
      <w:pPr>
        <w:spacing w:line="240" w:lineRule="auto"/>
        <w:ind w:firstLine="567"/>
        <w:rPr>
          <w:szCs w:val="28"/>
        </w:rPr>
      </w:pPr>
    </w:p>
    <w:p w:rsidR="006A1B2C" w:rsidRPr="006A1B2C" w:rsidRDefault="006A1B2C" w:rsidP="006A1B2C">
      <w:pPr>
        <w:spacing w:line="240" w:lineRule="auto"/>
        <w:ind w:firstLine="567"/>
        <w:rPr>
          <w:szCs w:val="28"/>
        </w:rPr>
      </w:pPr>
    </w:p>
    <w:sectPr w:rsidR="006A1B2C" w:rsidRPr="006A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5"/>
    <w:rsid w:val="000042A6"/>
    <w:rsid w:val="00046AD4"/>
    <w:rsid w:val="006A1B2C"/>
    <w:rsid w:val="008C0505"/>
    <w:rsid w:val="009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2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6A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2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6A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isty@bk.ru" TargetMode="External"/><Relationship Id="rId5" Type="http://schemas.openxmlformats.org/officeDocument/2006/relationships/hyperlink" Target="mailto:glava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2018-10-15T13:22:00Z</dcterms:created>
  <dcterms:modified xsi:type="dcterms:W3CDTF">2018-10-16T08:26:00Z</dcterms:modified>
</cp:coreProperties>
</file>