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7A" w:rsidRPr="00D2507A" w:rsidRDefault="00512550" w:rsidP="00D2507A">
      <w:pPr>
        <w:pStyle w:val="Heading1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D2507A">
        <w:rPr>
          <w:rFonts w:ascii="Times New Roman" w:hAnsi="Times New Roman" w:cs="Times New Roman"/>
          <w:color w:val="7030A0"/>
          <w:sz w:val="28"/>
          <w:szCs w:val="28"/>
        </w:rPr>
        <w:t>Письмо Минтруда России №18-2/10/2-1490 от 19 марта 2013 г.</w:t>
      </w:r>
    </w:p>
    <w:p w:rsidR="00486956" w:rsidRPr="00D2507A" w:rsidRDefault="00512550" w:rsidP="00D2507A">
      <w:pPr>
        <w:pStyle w:val="Heading1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«Комплекс мер, направленных на привлечение государственных и муниципальных служащих к противодействию коррупции»</w:t>
      </w:r>
    </w:p>
    <w:p w:rsidR="00486956" w:rsidRPr="00D2507A" w:rsidRDefault="00512550" w:rsidP="00D25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Style w:val="StrongEmphasis"/>
          <w:rFonts w:ascii="Times New Roman" w:hAnsi="Times New Roman" w:cs="Times New Roman"/>
          <w:sz w:val="28"/>
          <w:szCs w:val="28"/>
        </w:rPr>
        <w:t xml:space="preserve">I. Организация антикоррупционной деятельности в федеральных государственных </w:t>
      </w:r>
      <w:r w:rsidRPr="00D2507A">
        <w:rPr>
          <w:rStyle w:val="StrongEmphasis"/>
          <w:rFonts w:ascii="Times New Roman" w:hAnsi="Times New Roman" w:cs="Times New Roman"/>
          <w:sz w:val="28"/>
          <w:szCs w:val="28"/>
        </w:rPr>
        <w:t>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486956" w:rsidRPr="00D2507A" w:rsidRDefault="00512550" w:rsidP="00D250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С 2008 года в Российской Федерации проводится планомерная работа по формированию нормативной базы п</w:t>
      </w:r>
      <w:r w:rsidRPr="00D2507A">
        <w:rPr>
          <w:rFonts w:ascii="Times New Roman" w:hAnsi="Times New Roman" w:cs="Times New Roman"/>
          <w:sz w:val="28"/>
          <w:szCs w:val="28"/>
        </w:rPr>
        <w:t xml:space="preserve">о профилактике и противодействию коррупции, отвечающей новейшим научным разработкам и современным международным требованиям прозрачности </w:t>
      </w:r>
      <w:r w:rsidRPr="00D2507A">
        <w:rPr>
          <w:rFonts w:ascii="Times New Roman" w:hAnsi="Times New Roman" w:cs="Times New Roman"/>
          <w:sz w:val="28"/>
          <w:szCs w:val="28"/>
        </w:rPr>
        <w:t>государственного управления. Для государственных и муниципальных служащих установлены четкие ограничения и запреты, опр</w:t>
      </w:r>
      <w:r w:rsidRPr="00D2507A">
        <w:rPr>
          <w:rFonts w:ascii="Times New Roman" w:hAnsi="Times New Roman" w:cs="Times New Roman"/>
          <w:sz w:val="28"/>
          <w:szCs w:val="28"/>
        </w:rPr>
        <w:t xml:space="preserve">еделена ответственность за их нарушение. Наряду с этим выработан достаточный комплекс инструментов, обеспечивающих </w:t>
      </w:r>
      <w:proofErr w:type="gramStart"/>
      <w:r w:rsidRPr="00D250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07A">
        <w:rPr>
          <w:rFonts w:ascii="Times New Roman" w:hAnsi="Times New Roman" w:cs="Times New Roman"/>
          <w:sz w:val="28"/>
          <w:szCs w:val="28"/>
        </w:rPr>
        <w:t xml:space="preserve"> соблюдением антикоррупционных мер.</w:t>
      </w:r>
    </w:p>
    <w:p w:rsidR="00486956" w:rsidRPr="00D2507A" w:rsidRDefault="00512550" w:rsidP="00D250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Теперь перед каждым федеральным государственным органом, государственным органом субъекта Росс</w:t>
      </w:r>
      <w:r w:rsidRPr="00D2507A">
        <w:rPr>
          <w:rFonts w:ascii="Times New Roman" w:hAnsi="Times New Roman" w:cs="Times New Roman"/>
          <w:sz w:val="28"/>
          <w:szCs w:val="28"/>
        </w:rPr>
        <w:t>ийской Федерации, органом местного самоуправления, аппаратом избирательной комиссии муниципального образования (далее – органы государственной власти и местного самоуправления) стоит задача эффективно использовать данные положения законодательства на практ</w:t>
      </w:r>
      <w:r w:rsidRPr="00D2507A">
        <w:rPr>
          <w:rFonts w:ascii="Times New Roman" w:hAnsi="Times New Roman" w:cs="Times New Roman"/>
          <w:sz w:val="28"/>
          <w:szCs w:val="28"/>
        </w:rPr>
        <w:t>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</w:t>
      </w:r>
      <w:r w:rsidRPr="00D2507A">
        <w:rPr>
          <w:rFonts w:ascii="Times New Roman" w:hAnsi="Times New Roman" w:cs="Times New Roman"/>
          <w:sz w:val="28"/>
          <w:szCs w:val="28"/>
        </w:rPr>
        <w:t xml:space="preserve">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</w:t>
      </w:r>
      <w:proofErr w:type="spellStart"/>
      <w:r w:rsidRPr="00D2507A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D2507A">
        <w:rPr>
          <w:rFonts w:ascii="Times New Roman" w:hAnsi="Times New Roman" w:cs="Times New Roman"/>
          <w:sz w:val="28"/>
          <w:szCs w:val="28"/>
        </w:rPr>
        <w:t xml:space="preserve"> и может различаться.</w:t>
      </w:r>
    </w:p>
    <w:p w:rsidR="00486956" w:rsidRPr="00D2507A" w:rsidRDefault="00512550" w:rsidP="00D250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07A">
        <w:rPr>
          <w:rFonts w:ascii="Times New Roman" w:hAnsi="Times New Roman" w:cs="Times New Roman"/>
          <w:sz w:val="28"/>
          <w:szCs w:val="28"/>
        </w:rPr>
        <w:t>Для стимулирования активности в данной</w:t>
      </w:r>
      <w:r w:rsidRPr="00D2507A">
        <w:rPr>
          <w:rFonts w:ascii="Times New Roman" w:hAnsi="Times New Roman" w:cs="Times New Roman"/>
          <w:sz w:val="28"/>
          <w:szCs w:val="28"/>
        </w:rPr>
        <w:t xml:space="preserve"> деятельности в Национальном плане противодействия коррупции на 2012-2013 годы, утвержденном Указом Президента Российской Федерации от 13 марта 2012 г. № 297 (далее – Национальный план противодействия коррупции), пристальное внимание уделяется работе, кото</w:t>
      </w:r>
      <w:r w:rsidRPr="00D2507A">
        <w:rPr>
          <w:rFonts w:ascii="Times New Roman" w:hAnsi="Times New Roman" w:cs="Times New Roman"/>
          <w:sz w:val="28"/>
          <w:szCs w:val="28"/>
        </w:rPr>
        <w:t>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направленности.</w:t>
      </w:r>
      <w:proofErr w:type="gramEnd"/>
      <w:r w:rsidRPr="00D2507A">
        <w:rPr>
          <w:rFonts w:ascii="Times New Roman" w:hAnsi="Times New Roman" w:cs="Times New Roman"/>
          <w:sz w:val="28"/>
          <w:szCs w:val="28"/>
        </w:rPr>
        <w:t xml:space="preserve"> Реализацию мероприятий, на</w:t>
      </w:r>
      <w:r w:rsidRPr="00D2507A">
        <w:rPr>
          <w:rFonts w:ascii="Times New Roman" w:hAnsi="Times New Roman" w:cs="Times New Roman"/>
          <w:sz w:val="28"/>
          <w:szCs w:val="28"/>
        </w:rPr>
        <w:t>правленных на противодействие коррупции, необходимо осуществлять систематически на плановой основе.</w:t>
      </w:r>
    </w:p>
    <w:p w:rsidR="00486956" w:rsidRPr="00D2507A" w:rsidRDefault="00512550" w:rsidP="00D250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 xml:space="preserve"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</w:t>
      </w:r>
      <w:r w:rsidRPr="00D2507A">
        <w:rPr>
          <w:rFonts w:ascii="Times New Roman" w:hAnsi="Times New Roman" w:cs="Times New Roman"/>
          <w:sz w:val="28"/>
          <w:szCs w:val="28"/>
        </w:rPr>
        <w:t>комиссии по проведению административной реформы 15 июня 2012 г. одобрен Типовой план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</w:t>
      </w:r>
      <w:r w:rsidRPr="00D2507A">
        <w:rPr>
          <w:rFonts w:ascii="Times New Roman" w:hAnsi="Times New Roman" w:cs="Times New Roman"/>
          <w:sz w:val="28"/>
          <w:szCs w:val="28"/>
        </w:rPr>
        <w:t xml:space="preserve">ами Президента Российской Федерации, постановлениями Правительства Российской Федерации и </w:t>
      </w:r>
      <w:r w:rsidRPr="00D2507A">
        <w:rPr>
          <w:rFonts w:ascii="Times New Roman" w:hAnsi="Times New Roman" w:cs="Times New Roman"/>
          <w:sz w:val="28"/>
          <w:szCs w:val="28"/>
        </w:rPr>
        <w:lastRenderedPageBreak/>
        <w:t>поручениями.</w:t>
      </w:r>
    </w:p>
    <w:p w:rsidR="00486956" w:rsidRPr="00D2507A" w:rsidRDefault="00512550" w:rsidP="00D250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 xml:space="preserve">Деятельность остальных федеральных государственных органов планируется с учетом положений Национальной стратегии противодействия коррупции, утвержденной </w:t>
      </w:r>
      <w:r w:rsidRPr="00D2507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13 апреля 2010 г. № 460, и Национального плана противодействия коррупции.</w:t>
      </w:r>
    </w:p>
    <w:p w:rsidR="00486956" w:rsidRPr="00D2507A" w:rsidRDefault="00512550" w:rsidP="00D250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07A">
        <w:rPr>
          <w:rFonts w:ascii="Times New Roman" w:hAnsi="Times New Roman" w:cs="Times New Roman"/>
          <w:sz w:val="28"/>
          <w:szCs w:val="28"/>
        </w:rPr>
        <w:t>По итогам анализа информации о работе федеральных органов исполнительной власти по противодействию коррупции, включающей деятельность комисс</w:t>
      </w:r>
      <w:r w:rsidRPr="00D2507A">
        <w:rPr>
          <w:rFonts w:ascii="Times New Roman" w:hAnsi="Times New Roman" w:cs="Times New Roman"/>
          <w:sz w:val="28"/>
          <w:szCs w:val="28"/>
        </w:rPr>
        <w:t>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</w:t>
      </w:r>
      <w:r w:rsidRPr="00D2507A">
        <w:rPr>
          <w:rFonts w:ascii="Times New Roman" w:hAnsi="Times New Roman" w:cs="Times New Roman"/>
          <w:sz w:val="28"/>
          <w:szCs w:val="28"/>
        </w:rPr>
        <w:t>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  <w:proofErr w:type="gramEnd"/>
    </w:p>
    <w:p w:rsidR="00486956" w:rsidRPr="00D2507A" w:rsidRDefault="00512550" w:rsidP="00D250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Результаты исследования показывают, что лишь небольшая часть федеральных органов исполнительной власти зан</w:t>
      </w:r>
      <w:r w:rsidRPr="00D2507A">
        <w:rPr>
          <w:rFonts w:ascii="Times New Roman" w:hAnsi="Times New Roman" w:cs="Times New Roman"/>
          <w:sz w:val="28"/>
          <w:szCs w:val="28"/>
        </w:rPr>
        <w:t>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486956" w:rsidRPr="00D2507A" w:rsidRDefault="00512550" w:rsidP="00D250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 xml:space="preserve">Отсутствие культуры </w:t>
      </w:r>
      <w:proofErr w:type="spellStart"/>
      <w:r w:rsidRPr="00D2507A">
        <w:rPr>
          <w:rFonts w:ascii="Times New Roman" w:hAnsi="Times New Roman" w:cs="Times New Roman"/>
          <w:sz w:val="28"/>
          <w:szCs w:val="28"/>
        </w:rPr>
        <w:t>антикорупционного</w:t>
      </w:r>
      <w:proofErr w:type="spellEnd"/>
      <w:r w:rsidRPr="00D2507A">
        <w:rPr>
          <w:rFonts w:ascii="Times New Roman" w:hAnsi="Times New Roman" w:cs="Times New Roman"/>
          <w:sz w:val="28"/>
          <w:szCs w:val="28"/>
        </w:rPr>
        <w:t xml:space="preserve"> поведения во многом порождает необратимые последствия</w:t>
      </w:r>
      <w:r w:rsidRPr="00D2507A">
        <w:rPr>
          <w:rFonts w:ascii="Times New Roman" w:hAnsi="Times New Roman" w:cs="Times New Roman"/>
          <w:sz w:val="28"/>
          <w:szCs w:val="28"/>
        </w:rPr>
        <w:t>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486956" w:rsidRPr="00D2507A" w:rsidRDefault="00512550" w:rsidP="00D250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В целях повышения эффективности организации и методической поддержки деятельности подразделений кадр</w:t>
      </w:r>
      <w:r w:rsidRPr="00D2507A">
        <w:rPr>
          <w:rFonts w:ascii="Times New Roman" w:hAnsi="Times New Roman" w:cs="Times New Roman"/>
          <w:sz w:val="28"/>
          <w:szCs w:val="28"/>
        </w:rPr>
        <w:t>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</w:t>
      </w:r>
      <w:r w:rsidRPr="00D2507A">
        <w:rPr>
          <w:rFonts w:ascii="Times New Roman" w:hAnsi="Times New Roman" w:cs="Times New Roman"/>
          <w:sz w:val="28"/>
          <w:szCs w:val="28"/>
        </w:rPr>
        <w:t>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486956" w:rsidRPr="00D2507A" w:rsidRDefault="00512550" w:rsidP="00D25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Style w:val="StrongEmphasis"/>
          <w:rFonts w:ascii="Times New Roman" w:hAnsi="Times New Roman" w:cs="Times New Roman"/>
          <w:sz w:val="28"/>
          <w:szCs w:val="28"/>
        </w:rPr>
        <w:t>II. Описание</w:t>
      </w:r>
      <w:r w:rsidRPr="00D2507A">
        <w:rPr>
          <w:rStyle w:val="StrongEmphasis"/>
          <w:rFonts w:ascii="Times New Roman" w:hAnsi="Times New Roman" w:cs="Times New Roman"/>
          <w:sz w:val="28"/>
          <w:szCs w:val="28"/>
        </w:rPr>
        <w:t xml:space="preserve"> мер, направленных на привлечение государственных и муниципальных служащих к противодействию коррупции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486956" w:rsidRPr="00D2507A" w:rsidRDefault="00512550" w:rsidP="00D2507A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прив</w:t>
      </w:r>
      <w:r w:rsidRPr="00D2507A">
        <w:rPr>
          <w:rFonts w:ascii="Times New Roman" w:hAnsi="Times New Roman" w:cs="Times New Roman"/>
          <w:sz w:val="28"/>
          <w:szCs w:val="28"/>
        </w:rPr>
        <w:t xml:space="preserve">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 </w:t>
      </w:r>
    </w:p>
    <w:p w:rsidR="00486956" w:rsidRPr="00D2507A" w:rsidRDefault="00512550" w:rsidP="00D2507A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активизация участия государственных и муниципальных служащих в работе структурных подразделений кадровых</w:t>
      </w:r>
      <w:r w:rsidRPr="00D2507A">
        <w:rPr>
          <w:rFonts w:ascii="Times New Roman" w:hAnsi="Times New Roman" w:cs="Times New Roman"/>
          <w:sz w:val="28"/>
          <w:szCs w:val="28"/>
        </w:rPr>
        <w:t xml:space="preserve"> служб по профилактике коррупционных и иных правонарушений и комиссий по соблюдению </w:t>
      </w:r>
      <w:r w:rsidRPr="00D2507A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служебному поведению и урегулированию конфликта интересов (далее – комиссии), осуществляющих функции по противодействию коррупции; </w:t>
      </w:r>
    </w:p>
    <w:p w:rsidR="00486956" w:rsidRPr="00D2507A" w:rsidRDefault="00512550" w:rsidP="00D2507A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стимулирование государствен</w:t>
      </w:r>
      <w:r w:rsidRPr="00D2507A">
        <w:rPr>
          <w:rFonts w:ascii="Times New Roman" w:hAnsi="Times New Roman" w:cs="Times New Roman"/>
          <w:sz w:val="28"/>
          <w:szCs w:val="28"/>
        </w:rPr>
        <w:t xml:space="preserve">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 </w:t>
      </w:r>
    </w:p>
    <w:p w:rsidR="00486956" w:rsidRPr="00D2507A" w:rsidRDefault="00512550" w:rsidP="00D2507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просвещение государственных и муниципальных служащих по вопросам а</w:t>
      </w:r>
      <w:r w:rsidRPr="00D2507A">
        <w:rPr>
          <w:rFonts w:ascii="Times New Roman" w:hAnsi="Times New Roman" w:cs="Times New Roman"/>
          <w:sz w:val="28"/>
          <w:szCs w:val="28"/>
        </w:rPr>
        <w:t xml:space="preserve">нтикоррупционной тематики и методическое обеспечение их профессиональной служебной деятельности. </w:t>
      </w:r>
    </w:p>
    <w:p w:rsidR="00486956" w:rsidRPr="00512550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550">
        <w:rPr>
          <w:rFonts w:ascii="Times New Roman" w:hAnsi="Times New Roman" w:cs="Times New Roman"/>
          <w:b/>
          <w:i/>
          <w:sz w:val="28"/>
          <w:szCs w:val="28"/>
        </w:rP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07A">
        <w:rPr>
          <w:rFonts w:ascii="Times New Roman" w:hAnsi="Times New Roman" w:cs="Times New Roman"/>
          <w:sz w:val="28"/>
          <w:szCs w:val="28"/>
        </w:rPr>
        <w:t>Н</w:t>
      </w:r>
      <w:r w:rsidRPr="00D2507A">
        <w:rPr>
          <w:rFonts w:ascii="Times New Roman" w:hAnsi="Times New Roman" w:cs="Times New Roman"/>
          <w:sz w:val="28"/>
          <w:szCs w:val="28"/>
        </w:rPr>
        <w:t>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</w:t>
      </w:r>
      <w:r w:rsidRPr="00D2507A">
        <w:rPr>
          <w:rFonts w:ascii="Times New Roman" w:hAnsi="Times New Roman" w:cs="Times New Roman"/>
          <w:sz w:val="28"/>
          <w:szCs w:val="28"/>
        </w:rPr>
        <w:t>тветственных за работу по профилактике коррупционных и иных правонарушений (далее – подразделение), рекомендуется обеспечить информирование государственных (муниципальных) служащих о возможности участия в его подготовке.</w:t>
      </w:r>
      <w:proofErr w:type="gramEnd"/>
      <w:r w:rsidRPr="00D2507A">
        <w:rPr>
          <w:rFonts w:ascii="Times New Roman" w:hAnsi="Times New Roman" w:cs="Times New Roman"/>
          <w:sz w:val="28"/>
          <w:szCs w:val="28"/>
        </w:rPr>
        <w:t xml:space="preserve"> Для обсуждения полученных замечаний</w:t>
      </w:r>
      <w:r w:rsidRPr="00D2507A">
        <w:rPr>
          <w:rFonts w:ascii="Times New Roman" w:hAnsi="Times New Roman" w:cs="Times New Roman"/>
          <w:sz w:val="28"/>
          <w:szCs w:val="28"/>
        </w:rPr>
        <w:t xml:space="preserve">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коллегий, соответствующих комиссий, офицерских собраний с участием представите</w:t>
      </w:r>
      <w:r w:rsidRPr="00D2507A">
        <w:rPr>
          <w:rFonts w:ascii="Times New Roman" w:hAnsi="Times New Roman" w:cs="Times New Roman"/>
          <w:sz w:val="28"/>
          <w:szCs w:val="28"/>
        </w:rPr>
        <w:t>лей структурных подразделений государственного (муниципального) органа.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Представл</w:t>
      </w:r>
      <w:r w:rsidRPr="00D2507A">
        <w:rPr>
          <w:rFonts w:ascii="Times New Roman" w:hAnsi="Times New Roman" w:cs="Times New Roman"/>
          <w:sz w:val="28"/>
          <w:szCs w:val="28"/>
        </w:rPr>
        <w:t>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</w:t>
      </w:r>
      <w:r w:rsidRPr="00D2507A">
        <w:rPr>
          <w:rFonts w:ascii="Times New Roman" w:hAnsi="Times New Roman" w:cs="Times New Roman"/>
          <w:sz w:val="28"/>
          <w:szCs w:val="28"/>
        </w:rPr>
        <w:t>х рекомендаций.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</w:t>
      </w:r>
      <w:r w:rsidRPr="00D2507A">
        <w:rPr>
          <w:rFonts w:ascii="Times New Roman" w:hAnsi="Times New Roman" w:cs="Times New Roman"/>
          <w:sz w:val="28"/>
          <w:szCs w:val="28"/>
        </w:rPr>
        <w:t>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</w:t>
      </w:r>
      <w:r w:rsidRPr="00D2507A">
        <w:rPr>
          <w:rFonts w:ascii="Times New Roman" w:hAnsi="Times New Roman" w:cs="Times New Roman"/>
          <w:sz w:val="28"/>
          <w:szCs w:val="28"/>
        </w:rPr>
        <w:t>личия личной заинтересованности, которая приводит или может привести к конфликту интересов и т.д.).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 xml:space="preserve">Высказанные государственными (муниципальными) служащими замечания следует использовать при составлении писем в Минтруд России или </w:t>
      </w:r>
      <w:r w:rsidRPr="00D2507A">
        <w:rPr>
          <w:rFonts w:ascii="Times New Roman" w:hAnsi="Times New Roman" w:cs="Times New Roman"/>
          <w:sz w:val="28"/>
          <w:szCs w:val="28"/>
        </w:rPr>
        <w:lastRenderedPageBreak/>
        <w:t>государственный орган субъ</w:t>
      </w:r>
      <w:r w:rsidRPr="00D2507A">
        <w:rPr>
          <w:rFonts w:ascii="Times New Roman" w:hAnsi="Times New Roman" w:cs="Times New Roman"/>
          <w:sz w:val="28"/>
          <w:szCs w:val="28"/>
        </w:rPr>
        <w:t>екта Российской Федерации по управлению государственной службой о разъяснении порядка применения законодательства.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</w:t>
      </w:r>
      <w:r w:rsidRPr="00D2507A">
        <w:rPr>
          <w:rFonts w:ascii="Times New Roman" w:hAnsi="Times New Roman" w:cs="Times New Roman"/>
          <w:sz w:val="28"/>
          <w:szCs w:val="28"/>
        </w:rPr>
        <w:t>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«Интернет», посвященном вопросам противодействия коррупции.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Подразделению н</w:t>
      </w:r>
      <w:r w:rsidRPr="00D2507A">
        <w:rPr>
          <w:rFonts w:ascii="Times New Roman" w:hAnsi="Times New Roman" w:cs="Times New Roman"/>
          <w:sz w:val="28"/>
          <w:szCs w:val="28"/>
        </w:rPr>
        <w:t>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</w:t>
      </w:r>
      <w:r w:rsidRPr="00D2507A">
        <w:rPr>
          <w:rFonts w:ascii="Times New Roman" w:hAnsi="Times New Roman" w:cs="Times New Roman"/>
          <w:sz w:val="28"/>
          <w:szCs w:val="28"/>
        </w:rPr>
        <w:t xml:space="preserve">ханизмов, предусмотренных действующим законодательством Российской Федерации. </w:t>
      </w:r>
    </w:p>
    <w:p w:rsidR="00486956" w:rsidRPr="00512550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550">
        <w:rPr>
          <w:rFonts w:ascii="Times New Roman" w:hAnsi="Times New Roman" w:cs="Times New Roman"/>
          <w:b/>
          <w:i/>
          <w:sz w:val="28"/>
          <w:szCs w:val="28"/>
        </w:rPr>
        <w:t xml:space="preserve"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</w:t>
      </w:r>
      <w:r w:rsidRPr="00512550">
        <w:rPr>
          <w:rFonts w:ascii="Times New Roman" w:hAnsi="Times New Roman" w:cs="Times New Roman"/>
          <w:b/>
          <w:i/>
          <w:sz w:val="28"/>
          <w:szCs w:val="28"/>
        </w:rPr>
        <w:t>аттестационных комиссий, а также структурных подразделений по профилактике коррупционных и иных правонарушений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07A">
        <w:rPr>
          <w:rFonts w:ascii="Times New Roman" w:hAnsi="Times New Roman" w:cs="Times New Roman"/>
          <w:sz w:val="28"/>
          <w:szCs w:val="28"/>
        </w:rPr>
        <w:t>В соответствии с пунктом 8 Положения о комиссиях по соблюдению требований к служебному поведению федеральных государственных служащих и урегулиро</w:t>
      </w:r>
      <w:r w:rsidRPr="00D2507A">
        <w:rPr>
          <w:rFonts w:ascii="Times New Roman" w:hAnsi="Times New Roman" w:cs="Times New Roman"/>
          <w:sz w:val="28"/>
          <w:szCs w:val="28"/>
        </w:rPr>
        <w:t>ванию конфликта интересов, утвержденного Указом Президента Российской Федерации от 1 июля 2010 г. № 821,</w:t>
      </w:r>
      <w:r w:rsidRPr="00D2507A">
        <w:rPr>
          <w:rStyle w:val="StrongEmphasis"/>
          <w:rFonts w:ascii="Times New Roman" w:hAnsi="Times New Roman" w:cs="Times New Roman"/>
          <w:sz w:val="28"/>
          <w:szCs w:val="28"/>
        </w:rPr>
        <w:t xml:space="preserve"> </w:t>
      </w:r>
      <w:r w:rsidRPr="00D2507A">
        <w:rPr>
          <w:rFonts w:ascii="Times New Roman" w:hAnsi="Times New Roman" w:cs="Times New Roman"/>
          <w:sz w:val="28"/>
          <w:szCs w:val="28"/>
        </w:rPr>
        <w:t>в состав комиссии входят, в том числе государственные служащие из подразделения по вопросам государственной службы и кадров, юридического (правового) п</w:t>
      </w:r>
      <w:r w:rsidRPr="00D2507A">
        <w:rPr>
          <w:rFonts w:ascii="Times New Roman" w:hAnsi="Times New Roman" w:cs="Times New Roman"/>
          <w:sz w:val="28"/>
          <w:szCs w:val="28"/>
        </w:rPr>
        <w:t>одразделения, других подразделений государственного органа, определяемые его руководителем.</w:t>
      </w:r>
      <w:proofErr w:type="gramEnd"/>
      <w:r w:rsidRPr="00D2507A">
        <w:rPr>
          <w:rFonts w:ascii="Times New Roman" w:hAnsi="Times New Roman" w:cs="Times New Roman"/>
          <w:sz w:val="28"/>
          <w:szCs w:val="28"/>
        </w:rPr>
        <w:t xml:space="preserve"> Аналогичный порядок формирования комиссии предусматривается и для муниципальных служащих.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В этой связи представляется целесообразным активно использовать данную воз</w:t>
      </w:r>
      <w:r w:rsidRPr="00D2507A">
        <w:rPr>
          <w:rFonts w:ascii="Times New Roman" w:hAnsi="Times New Roman" w:cs="Times New Roman"/>
          <w:sz w:val="28"/>
          <w:szCs w:val="28"/>
        </w:rPr>
        <w:t>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При этом рекомендуется осуществлять регулярную рота</w:t>
      </w:r>
      <w:r w:rsidRPr="00D2507A">
        <w:rPr>
          <w:rFonts w:ascii="Times New Roman" w:hAnsi="Times New Roman" w:cs="Times New Roman"/>
          <w:sz w:val="28"/>
          <w:szCs w:val="28"/>
        </w:rPr>
        <w:t xml:space="preserve">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</w:t>
      </w:r>
      <w:r w:rsidRPr="00D2507A">
        <w:rPr>
          <w:rFonts w:ascii="Times New Roman" w:hAnsi="Times New Roman" w:cs="Times New Roman"/>
          <w:sz w:val="28"/>
          <w:szCs w:val="28"/>
        </w:rPr>
        <w:t>представитель другого структурного подразделения.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</w:t>
      </w:r>
      <w:r w:rsidRPr="00D2507A">
        <w:rPr>
          <w:rFonts w:ascii="Times New Roman" w:hAnsi="Times New Roman" w:cs="Times New Roman"/>
          <w:sz w:val="28"/>
          <w:szCs w:val="28"/>
        </w:rPr>
        <w:t>ния в комиссию информации по данным вопросам.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 xml:space="preserve">В рамках установленных полномочий подразделений рекомендуется рассмотреть вопрос об организации в органах государственной власти и местного </w:t>
      </w:r>
      <w:r w:rsidRPr="00D2507A">
        <w:rPr>
          <w:rFonts w:ascii="Times New Roman" w:hAnsi="Times New Roman" w:cs="Times New Roman"/>
          <w:sz w:val="28"/>
          <w:szCs w:val="28"/>
        </w:rPr>
        <w:lastRenderedPageBreak/>
        <w:t>самоуправления общественных мероприятий, способствующих привлечению чл</w:t>
      </w:r>
      <w:r w:rsidRPr="00D2507A">
        <w:rPr>
          <w:rFonts w:ascii="Times New Roman" w:hAnsi="Times New Roman" w:cs="Times New Roman"/>
          <w:sz w:val="28"/>
          <w:szCs w:val="28"/>
        </w:rPr>
        <w:t>енов трудового коллектива к участию:</w:t>
      </w:r>
    </w:p>
    <w:p w:rsidR="00486956" w:rsidRPr="00D2507A" w:rsidRDefault="00512550" w:rsidP="00D2507A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 xml:space="preserve">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 </w:t>
      </w:r>
    </w:p>
    <w:p w:rsidR="00486956" w:rsidRPr="00D2507A" w:rsidRDefault="00512550" w:rsidP="00D2507A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в программах наставничества на</w:t>
      </w:r>
      <w:r w:rsidRPr="00D2507A">
        <w:rPr>
          <w:rFonts w:ascii="Times New Roman" w:hAnsi="Times New Roman" w:cs="Times New Roman"/>
          <w:sz w:val="28"/>
          <w:szCs w:val="28"/>
        </w:rPr>
        <w:t xml:space="preserve">д лицами, впервые поступающими на государственную (муниципальную) службу; </w:t>
      </w:r>
    </w:p>
    <w:p w:rsidR="00486956" w:rsidRPr="00D2507A" w:rsidRDefault="00512550" w:rsidP="00D2507A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 xml:space="preserve">в подготовке типовых ситуаций конфликта интересов и иных методических материалов по профилактике коррупции; </w:t>
      </w:r>
    </w:p>
    <w:p w:rsidR="00486956" w:rsidRPr="00D2507A" w:rsidRDefault="00512550" w:rsidP="00D2507A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в социологических опросах, направленных на оценку восприятия антикоррупц</w:t>
      </w:r>
      <w:r w:rsidRPr="00D2507A">
        <w:rPr>
          <w:rFonts w:ascii="Times New Roman" w:hAnsi="Times New Roman" w:cs="Times New Roman"/>
          <w:sz w:val="28"/>
          <w:szCs w:val="28"/>
        </w:rPr>
        <w:t xml:space="preserve">ионных мер и их эффективности; </w:t>
      </w:r>
    </w:p>
    <w:p w:rsidR="00486956" w:rsidRPr="00D2507A" w:rsidRDefault="00512550" w:rsidP="00D2507A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 xml:space="preserve"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 </w:t>
      </w:r>
    </w:p>
    <w:p w:rsidR="00486956" w:rsidRPr="00D2507A" w:rsidRDefault="00512550" w:rsidP="00D2507A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 xml:space="preserve">в других мероприятиях такого рода. </w:t>
      </w:r>
    </w:p>
    <w:p w:rsidR="00486956" w:rsidRPr="00512550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550">
        <w:rPr>
          <w:rFonts w:ascii="Times New Roman" w:hAnsi="Times New Roman" w:cs="Times New Roman"/>
          <w:b/>
          <w:i/>
          <w:sz w:val="28"/>
          <w:szCs w:val="28"/>
        </w:rPr>
        <w:t>3. Стимулиро</w:t>
      </w:r>
      <w:r w:rsidRPr="00512550">
        <w:rPr>
          <w:rFonts w:ascii="Times New Roman" w:hAnsi="Times New Roman" w:cs="Times New Roman"/>
          <w:b/>
          <w:i/>
          <w:sz w:val="28"/>
          <w:szCs w:val="28"/>
        </w:rPr>
        <w:t>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Стимулирование к сообщению представителю нанимателя</w:t>
      </w:r>
      <w:r w:rsidRPr="00D2507A">
        <w:rPr>
          <w:rFonts w:ascii="Times New Roman" w:hAnsi="Times New Roman" w:cs="Times New Roman"/>
          <w:sz w:val="28"/>
          <w:szCs w:val="28"/>
        </w:rPr>
        <w:t xml:space="preserve">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</w:t>
      </w:r>
      <w:r w:rsidRPr="00D2507A">
        <w:rPr>
          <w:rFonts w:ascii="Times New Roman" w:hAnsi="Times New Roman" w:cs="Times New Roman"/>
          <w:sz w:val="28"/>
          <w:szCs w:val="28"/>
        </w:rPr>
        <w:t xml:space="preserve"> защиты, в том числе:</w:t>
      </w:r>
    </w:p>
    <w:p w:rsidR="00486956" w:rsidRPr="00D2507A" w:rsidRDefault="00512550" w:rsidP="00D2507A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07A">
        <w:rPr>
          <w:rFonts w:ascii="Times New Roman" w:hAnsi="Times New Roman" w:cs="Times New Roman"/>
          <w:sz w:val="28"/>
          <w:szCs w:val="28"/>
        </w:rPr>
        <w:t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</w:t>
      </w:r>
      <w:r w:rsidRPr="00D2507A">
        <w:rPr>
          <w:rFonts w:ascii="Times New Roman" w:hAnsi="Times New Roman" w:cs="Times New Roman"/>
          <w:sz w:val="28"/>
          <w:szCs w:val="28"/>
        </w:rPr>
        <w:t>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</w:t>
      </w:r>
      <w:r w:rsidRPr="00D2507A">
        <w:rPr>
          <w:rFonts w:ascii="Times New Roman" w:hAnsi="Times New Roman" w:cs="Times New Roman"/>
          <w:sz w:val="28"/>
          <w:szCs w:val="28"/>
        </w:rPr>
        <w:t xml:space="preserve">й; </w:t>
      </w:r>
      <w:proofErr w:type="gramEnd"/>
    </w:p>
    <w:p w:rsidR="00486956" w:rsidRPr="00D2507A" w:rsidRDefault="00512550" w:rsidP="00D2507A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</w:t>
      </w:r>
      <w:r w:rsidRPr="00D2507A">
        <w:rPr>
          <w:rFonts w:ascii="Times New Roman" w:hAnsi="Times New Roman" w:cs="Times New Roman"/>
          <w:sz w:val="28"/>
          <w:szCs w:val="28"/>
        </w:rPr>
        <w:t xml:space="preserve">лей; </w:t>
      </w:r>
    </w:p>
    <w:p w:rsidR="00486956" w:rsidRPr="00D2507A" w:rsidRDefault="00512550" w:rsidP="00D2507A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</w:t>
      </w:r>
      <w:r w:rsidRPr="00D2507A">
        <w:rPr>
          <w:rFonts w:ascii="Times New Roman" w:hAnsi="Times New Roman" w:cs="Times New Roman"/>
          <w:sz w:val="28"/>
          <w:szCs w:val="28"/>
        </w:rPr>
        <w:t xml:space="preserve">я ли к ним кто-то лично. </w:t>
      </w:r>
    </w:p>
    <w:p w:rsidR="00486956" w:rsidRPr="00D2507A" w:rsidRDefault="00512550" w:rsidP="00D2507A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</w:t>
      </w:r>
      <w:r w:rsidRPr="00D2507A">
        <w:rPr>
          <w:rFonts w:ascii="Times New Roman" w:hAnsi="Times New Roman" w:cs="Times New Roman"/>
          <w:sz w:val="28"/>
          <w:szCs w:val="28"/>
        </w:rPr>
        <w:t xml:space="preserve">ующему раскрытию правонарушения </w:t>
      </w:r>
      <w:r w:rsidRPr="00D2507A"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коррупционной направленности (благодарственное письмо, внесение в книгу почета с выдачей соответствующего свидетельства и др.). </w:t>
      </w:r>
    </w:p>
    <w:p w:rsidR="00486956" w:rsidRPr="00512550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550">
        <w:rPr>
          <w:rFonts w:ascii="Times New Roman" w:hAnsi="Times New Roman" w:cs="Times New Roman"/>
          <w:b/>
          <w:i/>
          <w:sz w:val="28"/>
          <w:szCs w:val="28"/>
        </w:rPr>
        <w:t xml:space="preserve">4. Просвещение государственных и муниципальных служащих по </w:t>
      </w:r>
      <w:proofErr w:type="spellStart"/>
      <w:r w:rsidRPr="00512550">
        <w:rPr>
          <w:rFonts w:ascii="Times New Roman" w:hAnsi="Times New Roman" w:cs="Times New Roman"/>
          <w:b/>
          <w:i/>
          <w:sz w:val="28"/>
          <w:szCs w:val="28"/>
        </w:rPr>
        <w:t>антикорруцпионной</w:t>
      </w:r>
      <w:proofErr w:type="spellEnd"/>
      <w:r w:rsidRPr="00512550">
        <w:rPr>
          <w:rFonts w:ascii="Times New Roman" w:hAnsi="Times New Roman" w:cs="Times New Roman"/>
          <w:b/>
          <w:i/>
          <w:sz w:val="28"/>
          <w:szCs w:val="28"/>
        </w:rPr>
        <w:t xml:space="preserve"> тематике и методич</w:t>
      </w:r>
      <w:r w:rsidRPr="00512550">
        <w:rPr>
          <w:rFonts w:ascii="Times New Roman" w:hAnsi="Times New Roman" w:cs="Times New Roman"/>
          <w:b/>
          <w:i/>
          <w:sz w:val="28"/>
          <w:szCs w:val="28"/>
        </w:rPr>
        <w:t>еское обеспечение профессиональной служебной деятельности государственных и муниципальных служащих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 xml:space="preserve"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</w:t>
      </w:r>
      <w:r w:rsidRPr="00D2507A">
        <w:rPr>
          <w:rFonts w:ascii="Times New Roman" w:hAnsi="Times New Roman" w:cs="Times New Roman"/>
          <w:sz w:val="28"/>
          <w:szCs w:val="28"/>
        </w:rPr>
        <w:t>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486956" w:rsidRPr="00D2507A" w:rsidRDefault="00512550" w:rsidP="00D2507A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дачу и получение взятки; </w:t>
      </w:r>
    </w:p>
    <w:p w:rsidR="00486956" w:rsidRPr="00D2507A" w:rsidRDefault="00512550" w:rsidP="00D2507A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 xml:space="preserve">получение подарков; </w:t>
      </w:r>
    </w:p>
    <w:p w:rsidR="00486956" w:rsidRPr="00D2507A" w:rsidRDefault="00512550" w:rsidP="00D2507A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 xml:space="preserve">урегулирование конфликта интересов; </w:t>
      </w:r>
    </w:p>
    <w:p w:rsidR="00486956" w:rsidRPr="00D2507A" w:rsidRDefault="00512550" w:rsidP="00D2507A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 xml:space="preserve">выполнение иной оплачиваемой работы; </w:t>
      </w:r>
    </w:p>
    <w:p w:rsidR="00486956" w:rsidRPr="00D2507A" w:rsidRDefault="00512550" w:rsidP="00D2507A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 xml:space="preserve">информирование о замеченных фактах коррупции и т.д. 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 xml:space="preserve">Представляется целесообразным сформулировать памятки на основе типовых жизненных ситуаций. Памятки должны быть краткими, </w:t>
      </w:r>
      <w:r w:rsidRPr="00D2507A">
        <w:rPr>
          <w:rFonts w:ascii="Times New Roman" w:hAnsi="Times New Roman" w:cs="Times New Roman"/>
          <w:sz w:val="28"/>
          <w:szCs w:val="28"/>
        </w:rPr>
        <w:t>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</w:t>
      </w:r>
      <w:r w:rsidRPr="00D2507A">
        <w:rPr>
          <w:rFonts w:ascii="Times New Roman" w:hAnsi="Times New Roman" w:cs="Times New Roman"/>
          <w:sz w:val="28"/>
          <w:szCs w:val="28"/>
        </w:rPr>
        <w:t xml:space="preserve"> ситуации, ссылки на соответствующие положения нормативных правовых актов.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«Интернет», посвяще</w:t>
      </w:r>
      <w:r w:rsidRPr="00D2507A">
        <w:rPr>
          <w:rFonts w:ascii="Times New Roman" w:hAnsi="Times New Roman" w:cs="Times New Roman"/>
          <w:sz w:val="28"/>
          <w:szCs w:val="28"/>
        </w:rPr>
        <w:t>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Чтобы способствовать самостоятельному изучению гражданами, претендующими на замещение должностей госу</w:t>
      </w:r>
      <w:r w:rsidRPr="00D2507A">
        <w:rPr>
          <w:rFonts w:ascii="Times New Roman" w:hAnsi="Times New Roman" w:cs="Times New Roman"/>
          <w:sz w:val="28"/>
          <w:szCs w:val="28"/>
        </w:rPr>
        <w:t>дарственной (муниципальной) службы, основ антикоррупционного законодательства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</w:t>
      </w:r>
      <w:r w:rsidRPr="00D2507A">
        <w:rPr>
          <w:rFonts w:ascii="Times New Roman" w:hAnsi="Times New Roman" w:cs="Times New Roman"/>
          <w:sz w:val="28"/>
          <w:szCs w:val="28"/>
        </w:rPr>
        <w:t>в.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Так, в частности, рекомендуется к проведению обязательный вводный семинар для граждан, в</w:t>
      </w:r>
      <w:r w:rsidRPr="00D2507A">
        <w:rPr>
          <w:rFonts w:ascii="Times New Roman" w:hAnsi="Times New Roman" w:cs="Times New Roman"/>
          <w:sz w:val="28"/>
          <w:szCs w:val="28"/>
        </w:rPr>
        <w:t>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</w:t>
      </w:r>
      <w:r w:rsidRPr="00D2507A">
        <w:rPr>
          <w:rFonts w:ascii="Times New Roman" w:hAnsi="Times New Roman" w:cs="Times New Roman"/>
          <w:sz w:val="28"/>
          <w:szCs w:val="28"/>
        </w:rPr>
        <w:t xml:space="preserve">твия </w:t>
      </w:r>
      <w:r w:rsidRPr="00D2507A">
        <w:rPr>
          <w:rFonts w:ascii="Times New Roman" w:hAnsi="Times New Roman" w:cs="Times New Roman"/>
          <w:sz w:val="28"/>
          <w:szCs w:val="28"/>
        </w:rPr>
        <w:lastRenderedPageBreak/>
        <w:t>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</w:t>
      </w:r>
      <w:r w:rsidRPr="00D2507A">
        <w:rPr>
          <w:rFonts w:ascii="Times New Roman" w:hAnsi="Times New Roman" w:cs="Times New Roman"/>
          <w:sz w:val="28"/>
          <w:szCs w:val="28"/>
        </w:rPr>
        <w:t xml:space="preserve"> течение 30 календарных дней с момента поступления гражданина на должность государственной (муниципальной) службы.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Регулярные семинары (не реже одного раза в год) по ключевым вопросам противодействия коррупции, затрагивающим всех или большинство государств</w:t>
      </w:r>
      <w:r w:rsidRPr="00D2507A">
        <w:rPr>
          <w:rFonts w:ascii="Times New Roman" w:hAnsi="Times New Roman" w:cs="Times New Roman"/>
          <w:sz w:val="28"/>
          <w:szCs w:val="28"/>
        </w:rPr>
        <w:t xml:space="preserve">енных (муниципальных) служащих и предполагающих взаимодействие с органом государственной власти и местного самоуправления. </w:t>
      </w:r>
      <w:proofErr w:type="gramStart"/>
      <w:r w:rsidRPr="00D2507A">
        <w:rPr>
          <w:rFonts w:ascii="Times New Roman" w:hAnsi="Times New Roman" w:cs="Times New Roman"/>
          <w:sz w:val="28"/>
          <w:szCs w:val="28"/>
        </w:rPr>
        <w:t>В ходе семинара важно уделить особое внимание порядку действий, которому государственные (муниципальные) служащие должны следовать дл</w:t>
      </w:r>
      <w:r w:rsidRPr="00D2507A">
        <w:rPr>
          <w:rFonts w:ascii="Times New Roman" w:hAnsi="Times New Roman" w:cs="Times New Roman"/>
          <w:sz w:val="28"/>
          <w:szCs w:val="28"/>
        </w:rPr>
        <w:t>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</w:t>
      </w:r>
      <w:r w:rsidRPr="00D2507A">
        <w:rPr>
          <w:rFonts w:ascii="Times New Roman" w:hAnsi="Times New Roman" w:cs="Times New Roman"/>
          <w:sz w:val="28"/>
          <w:szCs w:val="28"/>
        </w:rPr>
        <w:t>збору отдельных наиболее сложных положений нормативных правовых актов и т.д.</w:t>
      </w:r>
      <w:proofErr w:type="gramEnd"/>
      <w:r w:rsidRPr="00D2507A">
        <w:rPr>
          <w:rFonts w:ascii="Times New Roman" w:hAnsi="Times New Roman" w:cs="Times New Roman"/>
          <w:sz w:val="28"/>
          <w:szCs w:val="28"/>
        </w:rPr>
        <w:t xml:space="preserve"> Регулярный семинар рекомендуется проводить не реже одного раза в год. Данное мероприятие может проводиться подразделениями как самостоятельно, так и с привлечением экспертов из на</w:t>
      </w:r>
      <w:r w:rsidRPr="00D2507A">
        <w:rPr>
          <w:rFonts w:ascii="Times New Roman" w:hAnsi="Times New Roman" w:cs="Times New Roman"/>
          <w:sz w:val="28"/>
          <w:szCs w:val="28"/>
        </w:rPr>
        <w:t>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</w:t>
      </w:r>
      <w:r w:rsidRPr="00D2507A">
        <w:rPr>
          <w:rFonts w:ascii="Times New Roman" w:hAnsi="Times New Roman" w:cs="Times New Roman"/>
          <w:sz w:val="28"/>
          <w:szCs w:val="28"/>
        </w:rPr>
        <w:t>наров, а также покажет эффективность проводимых мероприятий.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</w:t>
      </w:r>
      <w:r w:rsidRPr="00D2507A">
        <w:rPr>
          <w:rFonts w:ascii="Times New Roman" w:hAnsi="Times New Roman" w:cs="Times New Roman"/>
          <w:sz w:val="28"/>
          <w:szCs w:val="28"/>
        </w:rPr>
        <w:t>яется ознакомление государственных (муниципальных) служащих с новыми правовыми нормами и подходам к их применению.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07A">
        <w:rPr>
          <w:rFonts w:ascii="Times New Roman" w:hAnsi="Times New Roman" w:cs="Times New Roman"/>
          <w:sz w:val="28"/>
          <w:szCs w:val="28"/>
        </w:rPr>
        <w:t>Беседа с государственным (муниципальным) служащими, увольняющимися с государственной (муниципальной) службы, чьи должности входили в перечень</w:t>
      </w:r>
      <w:r w:rsidRPr="00D2507A">
        <w:rPr>
          <w:rFonts w:ascii="Times New Roman" w:hAnsi="Times New Roman" w:cs="Times New Roman"/>
          <w:sz w:val="28"/>
          <w:szCs w:val="28"/>
        </w:rPr>
        <w:t>, установленный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коррупции».</w:t>
      </w:r>
      <w:proofErr w:type="gramEnd"/>
      <w:r w:rsidRPr="00D2507A">
        <w:rPr>
          <w:rFonts w:ascii="Times New Roman" w:hAnsi="Times New Roman" w:cs="Times New Roman"/>
          <w:sz w:val="28"/>
          <w:szCs w:val="28"/>
        </w:rPr>
        <w:t xml:space="preserve"> В ходе беседы государственному (муниципальному) служащему следует разъяснить огран</w:t>
      </w:r>
      <w:r w:rsidRPr="00D2507A">
        <w:rPr>
          <w:rFonts w:ascii="Times New Roman" w:hAnsi="Times New Roman" w:cs="Times New Roman"/>
          <w:sz w:val="28"/>
          <w:szCs w:val="28"/>
        </w:rPr>
        <w:t>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Fonts w:ascii="Times New Roman" w:hAnsi="Times New Roman" w:cs="Times New Roman"/>
          <w:sz w:val="28"/>
          <w:szCs w:val="28"/>
        </w:rPr>
        <w:t>Одним из дополнительных инструментов реализации отдельных мероприятий, предусмотренных настоящим ко</w:t>
      </w:r>
      <w:r w:rsidRPr="00D2507A">
        <w:rPr>
          <w:rFonts w:ascii="Times New Roman" w:hAnsi="Times New Roman" w:cs="Times New Roman"/>
          <w:sz w:val="28"/>
          <w:szCs w:val="28"/>
        </w:rPr>
        <w:t xml:space="preserve">мплексом мер, может </w:t>
      </w:r>
      <w:r w:rsidRPr="00D2507A">
        <w:rPr>
          <w:rFonts w:ascii="Times New Roman" w:hAnsi="Times New Roman" w:cs="Times New Roman"/>
          <w:sz w:val="28"/>
          <w:szCs w:val="28"/>
        </w:rPr>
        <w:br/>
        <w:t xml:space="preserve">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</w:t>
      </w:r>
      <w:r w:rsidRPr="00D2507A">
        <w:rPr>
          <w:rFonts w:ascii="Times New Roman" w:hAnsi="Times New Roman" w:cs="Times New Roman"/>
          <w:sz w:val="28"/>
          <w:szCs w:val="28"/>
        </w:rPr>
        <w:t>актов.</w:t>
      </w:r>
    </w:p>
    <w:p w:rsidR="00486956" w:rsidRPr="00D2507A" w:rsidRDefault="00512550" w:rsidP="0051255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07A">
        <w:rPr>
          <w:rFonts w:ascii="Times New Roman" w:hAnsi="Times New Roman" w:cs="Times New Roman"/>
          <w:sz w:val="28"/>
          <w:szCs w:val="28"/>
        </w:rPr>
        <w:t xml:space="preserve">Кроме того, на внутреннем </w:t>
      </w:r>
      <w:proofErr w:type="spellStart"/>
      <w:r w:rsidRPr="00D2507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D2507A">
        <w:rPr>
          <w:rFonts w:ascii="Times New Roman" w:hAnsi="Times New Roman" w:cs="Times New Roman"/>
          <w:sz w:val="28"/>
          <w:szCs w:val="28"/>
        </w:rPr>
        <w:t xml:space="preserve"> возможно проведение </w:t>
      </w:r>
      <w:r w:rsidRPr="00D2507A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</w:t>
      </w:r>
      <w:proofErr w:type="spellStart"/>
      <w:r w:rsidRPr="00D2507A">
        <w:rPr>
          <w:rFonts w:ascii="Times New Roman" w:hAnsi="Times New Roman" w:cs="Times New Roman"/>
          <w:sz w:val="28"/>
          <w:szCs w:val="28"/>
        </w:rPr>
        <w:t>он-ла</w:t>
      </w:r>
      <w:r w:rsidRPr="00D2507A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Pr="00D2507A">
        <w:rPr>
          <w:rFonts w:ascii="Times New Roman" w:hAnsi="Times New Roman" w:cs="Times New Roman"/>
          <w:sz w:val="28"/>
          <w:szCs w:val="28"/>
        </w:rPr>
        <w:t xml:space="preserve"> по выделенному специальному адресу электронной почты, в режиме «вопрос-ответ» посредством размещения ответов на актуальные и часто задаваемые вопросы, в виде проведения </w:t>
      </w:r>
      <w:proofErr w:type="spellStart"/>
      <w:r w:rsidRPr="00D2507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D2507A">
        <w:rPr>
          <w:rFonts w:ascii="Times New Roman" w:hAnsi="Times New Roman" w:cs="Times New Roman"/>
          <w:sz w:val="28"/>
          <w:szCs w:val="28"/>
        </w:rPr>
        <w:t xml:space="preserve"> конференции с участием всех заинтересованных государственных (муниципальных)</w:t>
      </w:r>
      <w:r w:rsidRPr="00D2507A">
        <w:rPr>
          <w:rFonts w:ascii="Times New Roman" w:hAnsi="Times New Roman" w:cs="Times New Roman"/>
          <w:sz w:val="28"/>
          <w:szCs w:val="28"/>
        </w:rPr>
        <w:t xml:space="preserve"> служащих.</w:t>
      </w:r>
      <w:proofErr w:type="gramEnd"/>
      <w:r w:rsidRPr="00D2507A">
        <w:rPr>
          <w:rFonts w:ascii="Times New Roman" w:hAnsi="Times New Roman" w:cs="Times New Roman"/>
          <w:sz w:val="28"/>
          <w:szCs w:val="28"/>
        </w:rPr>
        <w:t xml:space="preserve"> Также представляется целесообразным размещать на </w:t>
      </w:r>
      <w:proofErr w:type="gramStart"/>
      <w:r w:rsidRPr="00D2507A">
        <w:rPr>
          <w:rFonts w:ascii="Times New Roman" w:hAnsi="Times New Roman" w:cs="Times New Roman"/>
          <w:sz w:val="28"/>
          <w:szCs w:val="28"/>
        </w:rPr>
        <w:t>внутреннем</w:t>
      </w:r>
      <w:proofErr w:type="gramEnd"/>
      <w:r w:rsidRPr="00D25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507A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D2507A">
        <w:rPr>
          <w:rFonts w:ascii="Times New Roman" w:hAnsi="Times New Roman" w:cs="Times New Roman"/>
          <w:sz w:val="28"/>
          <w:szCs w:val="28"/>
        </w:rPr>
        <w:t xml:space="preserve">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</w:t>
      </w:r>
      <w:r w:rsidRPr="00D2507A">
        <w:rPr>
          <w:rFonts w:ascii="Times New Roman" w:hAnsi="Times New Roman" w:cs="Times New Roman"/>
          <w:sz w:val="28"/>
          <w:szCs w:val="28"/>
        </w:rPr>
        <w:t>дические рекомендации, памятки и разъяснения по вопросам антикоррупционной тематики.</w:t>
      </w:r>
    </w:p>
    <w:p w:rsidR="00486956" w:rsidRPr="00D2507A" w:rsidRDefault="00512550" w:rsidP="00D25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07A">
        <w:rPr>
          <w:rStyle w:val="StrongEmphasis"/>
          <w:rFonts w:ascii="Times New Roman" w:hAnsi="Times New Roman" w:cs="Times New Roman"/>
          <w:sz w:val="28"/>
          <w:szCs w:val="28"/>
        </w:rPr>
        <w:t>III. Перечень мер, направленных на привлечение государственных и муниципальных служащих к противодействию коррупции</w:t>
      </w:r>
    </w:p>
    <w:tbl>
      <w:tblPr>
        <w:tblW w:w="10205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/>
      </w:tblPr>
      <w:tblGrid>
        <w:gridCol w:w="258"/>
        <w:gridCol w:w="9947"/>
      </w:tblGrid>
      <w:tr w:rsidR="00486956" w:rsidRPr="00D2507A">
        <w:tc>
          <w:tcPr>
            <w:tcW w:w="10205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486956" w:rsidRPr="00D2507A" w:rsidRDefault="00512550" w:rsidP="0051255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I. Привлечение государственных и муниципальных служащих</w:t>
            </w:r>
            <w:r w:rsidRPr="00D2507A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 xml:space="preserve"> к участию в обсуждении и разработке </w:t>
            </w:r>
            <w:r w:rsidRPr="00D2507A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нормативных правовых актов по вопросам противодействия коррупции</w:t>
            </w:r>
          </w:p>
        </w:tc>
      </w:tr>
      <w:tr w:rsidR="00486956" w:rsidRPr="00D2507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государственных муниципальных служащих о возможности участия в подготовке проектов актов по вопросам противодействия коррупции и 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проведение при необходимости рабочих встреч (серии встреч), заседаний коллегий, соответствующих комиссий, офицерских собраний с участием представителей структурных подразделений государственных (муниципальных) органов в целях организации обсуждения получен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ных предложений государственных (муниципальных) служащих по проектам актов.</w:t>
            </w:r>
          </w:p>
        </w:tc>
      </w:tr>
      <w:tr w:rsidR="00486956" w:rsidRPr="00D2507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 реже одного раза в год обсуждений практики применения антикоррупционного законодательства с государственными (муниципальными) служащими органа государственной 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власти и местного самоуправления.</w:t>
            </w:r>
          </w:p>
        </w:tc>
      </w:tr>
      <w:tr w:rsidR="00486956" w:rsidRPr="00D2507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Уведомление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 с использованием механизмов, предусмотренных действующим законодательством Российской Федерации.</w:t>
            </w:r>
          </w:p>
        </w:tc>
      </w:tr>
      <w:tr w:rsidR="00486956" w:rsidRPr="00D2507A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II. Активизация участия государственных и муниципальных служащих в работе структурных подразделений по профилактике коррупционных и иных правонаруше</w:t>
            </w:r>
            <w:r w:rsidRPr="00D2507A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ний, а также комиссий по соблюдению требований к служебному поведению и урегулированию конфликта интересов, аттестационных комиссий</w:t>
            </w:r>
          </w:p>
        </w:tc>
      </w:tr>
      <w:tr w:rsidR="00486956" w:rsidRPr="00D2507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участию в работе комиссии по соблюдению требований к служебному поведению и урегулированию конфликта 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интересов государственных (муниципальных) служащих представителей структурных подразделений органа государственной власти и местного самоуправления.</w:t>
            </w:r>
          </w:p>
        </w:tc>
      </w:tr>
      <w:tr w:rsidR="00486956" w:rsidRPr="00D2507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регулярной ротации, в рамках которой представитель структурного подразделения (за 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      </w:r>
          </w:p>
        </w:tc>
      </w:tr>
      <w:tr w:rsidR="00486956" w:rsidRPr="00D2507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Информирован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ие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      </w:r>
          </w:p>
        </w:tc>
      </w:tr>
      <w:tr w:rsidR="00486956" w:rsidRPr="00D2507A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III. Стимулирование государственных и муниципальных слу</w:t>
            </w:r>
            <w:r w:rsidRPr="00D2507A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</w:tr>
      <w:tr w:rsidR="00486956" w:rsidRPr="00D2507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507A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в локальном акте, устанавливающем порядок уведомления представителя 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пунктами 6 и 12 Методических рекомендаций о порядке увед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правонарушений[1];</w:t>
            </w:r>
            <w:proofErr w:type="gramEnd"/>
          </w:p>
        </w:tc>
      </w:tr>
      <w:tr w:rsidR="00486956" w:rsidRPr="00D2507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порядка уведомления представителя нанимателя (работодателя) об обращении к 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</w:tr>
      <w:tr w:rsidR="00486956" w:rsidRPr="00D2507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государственных (муниципальных) служащих, что они не только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 xml:space="preserve"> должны уведомлять представителя нанимателя (работодателя)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 xml:space="preserve"> вне зависимости от того, обращался ли к ним кто-то лично.</w:t>
            </w:r>
          </w:p>
        </w:tc>
      </w:tr>
      <w:tr w:rsidR="00486956" w:rsidRPr="00D2507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      </w:r>
          </w:p>
        </w:tc>
      </w:tr>
      <w:tr w:rsidR="00486956" w:rsidRPr="00D2507A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 xml:space="preserve">IV. Просвещение государственных и муниципальных служащих по </w:t>
            </w:r>
            <w:proofErr w:type="spellStart"/>
            <w:r w:rsidRPr="00D2507A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>антикорруцпионной</w:t>
            </w:r>
            <w:proofErr w:type="spellEnd"/>
            <w:r w:rsidRPr="00D2507A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t xml:space="preserve"> тематике и методическое обеспечение профессиональной служебной деятельности государственных </w:t>
            </w:r>
          </w:p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Style w:val="StrongEmphasis"/>
                <w:rFonts w:ascii="Times New Roman" w:hAnsi="Times New Roman" w:cs="Times New Roman"/>
                <w:sz w:val="28"/>
                <w:szCs w:val="28"/>
              </w:rPr>
              <w:lastRenderedPageBreak/>
              <w:t>и муниципальных служащих</w:t>
            </w:r>
          </w:p>
        </w:tc>
      </w:tr>
      <w:tr w:rsidR="00486956" w:rsidRPr="00D2507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памяток по ключевым вопросам противодействия 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</w:t>
            </w:r>
          </w:p>
        </w:tc>
      </w:tr>
      <w:tr w:rsidR="00486956" w:rsidRPr="00D2507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рамках 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проведения конкурсных процедур анкетирования, тестирования или иных методов оценки знания положений основ антикоррупционного законодательства.</w:t>
            </w:r>
          </w:p>
        </w:tc>
      </w:tr>
      <w:tr w:rsidR="00486956" w:rsidRPr="00D2507A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различных видов учебных семинаров по вопросам противодействия коррупции:</w:t>
            </w:r>
          </w:p>
          <w:p w:rsidR="00486956" w:rsidRPr="00D2507A" w:rsidRDefault="00512550" w:rsidP="00512550">
            <w:pPr>
              <w:pStyle w:val="TableContents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- вводного с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еминара для граждан, впервые поступивших на государственную (муниципальную) службу;</w:t>
            </w:r>
          </w:p>
          <w:p w:rsidR="00486956" w:rsidRPr="00D2507A" w:rsidRDefault="00512550" w:rsidP="00512550">
            <w:pPr>
              <w:pStyle w:val="TableContents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- регулярных семинаров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йствие с органом государственной власти и местного самоуправления;</w:t>
            </w:r>
          </w:p>
          <w:p w:rsidR="00486956" w:rsidRPr="00D2507A" w:rsidRDefault="00512550" w:rsidP="00512550">
            <w:pPr>
              <w:pStyle w:val="TableContents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- специальных семинаров в случае существенных изменений законодательства в сфере противодействия коррупции, затрагивающих государственных (муниципальных) служащих.</w:t>
            </w:r>
          </w:p>
        </w:tc>
      </w:tr>
      <w:tr w:rsidR="00486956" w:rsidRPr="00D2507A">
        <w:tc>
          <w:tcPr>
            <w:tcW w:w="227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0" w:type="dxa"/>
            </w:tcMar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486956" w:rsidRPr="00D2507A" w:rsidRDefault="00512550" w:rsidP="00D2507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разъяснению исполнения требований антикоррупционного законодательства государственным (муниципальным) служащими, увольняющимися с государственной (муниципальной) службы, чьи должности входили в перечень, установленный Указом Президента Российско</w:t>
            </w:r>
            <w:r w:rsidRPr="00D2507A">
              <w:rPr>
                <w:rFonts w:ascii="Times New Roman" w:hAnsi="Times New Roman" w:cs="Times New Roman"/>
                <w:sz w:val="28"/>
                <w:szCs w:val="28"/>
              </w:rPr>
              <w:t>й Федерации от 21 июля 2010 г. № 925 «О мерах по реализации отдельных положений Федерального закона «О противодействии коррупции».</w:t>
            </w:r>
          </w:p>
        </w:tc>
      </w:tr>
    </w:tbl>
    <w:p w:rsidR="00486956" w:rsidRPr="00D2507A" w:rsidRDefault="00486956" w:rsidP="00D2507A">
      <w:pPr>
        <w:pStyle w:val="HorizontalLine"/>
        <w:jc w:val="both"/>
        <w:rPr>
          <w:rFonts w:ascii="Times New Roman" w:hAnsi="Times New Roman" w:cs="Times New Roman"/>
          <w:sz w:val="28"/>
          <w:szCs w:val="28"/>
        </w:rPr>
      </w:pPr>
    </w:p>
    <w:p w:rsidR="00486956" w:rsidRPr="00D2507A" w:rsidRDefault="00512550" w:rsidP="00D25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07A">
        <w:rPr>
          <w:rFonts w:ascii="Times New Roman" w:hAnsi="Times New Roman" w:cs="Times New Roman"/>
          <w:sz w:val="28"/>
          <w:szCs w:val="28"/>
        </w:rPr>
        <w:t>[1] Методические рекомендации о порядке уведомления представителя нанимателя (работодателя) о фактах обращения в целях скло</w:t>
      </w:r>
      <w:r w:rsidRPr="00D2507A">
        <w:rPr>
          <w:rFonts w:ascii="Times New Roman" w:hAnsi="Times New Roman" w:cs="Times New Roman"/>
          <w:sz w:val="28"/>
          <w:szCs w:val="28"/>
        </w:rPr>
        <w:t xml:space="preserve">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разработаны </w:t>
      </w:r>
      <w:proofErr w:type="spellStart"/>
      <w:r w:rsidRPr="00D2507A">
        <w:rPr>
          <w:rFonts w:ascii="Times New Roman" w:hAnsi="Times New Roman" w:cs="Times New Roman"/>
          <w:sz w:val="28"/>
          <w:szCs w:val="28"/>
        </w:rPr>
        <w:t>Минздравсоцр</w:t>
      </w:r>
      <w:r w:rsidRPr="00D2507A">
        <w:rPr>
          <w:rFonts w:ascii="Times New Roman" w:hAnsi="Times New Roman" w:cs="Times New Roman"/>
          <w:sz w:val="28"/>
          <w:szCs w:val="28"/>
        </w:rPr>
        <w:t>азвития</w:t>
      </w:r>
      <w:proofErr w:type="spellEnd"/>
      <w:r w:rsidRPr="00D2507A">
        <w:rPr>
          <w:rFonts w:ascii="Times New Roman" w:hAnsi="Times New Roman" w:cs="Times New Roman"/>
          <w:sz w:val="28"/>
          <w:szCs w:val="28"/>
        </w:rPr>
        <w:t xml:space="preserve"> России и письмом от 20 сентября 2010 г. № 7666-17 направлены в федеральные государственные органы для использования в работе.</w:t>
      </w:r>
      <w:proofErr w:type="gramEnd"/>
    </w:p>
    <w:p w:rsidR="00D2507A" w:rsidRPr="00D2507A" w:rsidRDefault="00D25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2507A" w:rsidRPr="00D2507A" w:rsidSect="0048695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7B32"/>
    <w:multiLevelType w:val="multilevel"/>
    <w:tmpl w:val="1CE033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18511420"/>
    <w:multiLevelType w:val="multilevel"/>
    <w:tmpl w:val="A8369E2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18D01CBB"/>
    <w:multiLevelType w:val="multilevel"/>
    <w:tmpl w:val="EE6A217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21C702AC"/>
    <w:multiLevelType w:val="multilevel"/>
    <w:tmpl w:val="7DD8259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4AD059D2"/>
    <w:multiLevelType w:val="multilevel"/>
    <w:tmpl w:val="2B5008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86956"/>
    <w:rsid w:val="00486956"/>
    <w:rsid w:val="00512550"/>
    <w:rsid w:val="00D2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86956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486956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486956"/>
  </w:style>
  <w:style w:type="character" w:customStyle="1" w:styleId="FootnoteCharacters">
    <w:name w:val="Footnote Characters"/>
    <w:qFormat/>
    <w:rsid w:val="00486956"/>
  </w:style>
  <w:style w:type="character" w:customStyle="1" w:styleId="InternetLink">
    <w:name w:val="Internet Link"/>
    <w:rsid w:val="00486956"/>
    <w:rPr>
      <w:color w:val="000080"/>
      <w:u w:val="single"/>
    </w:rPr>
  </w:style>
  <w:style w:type="character" w:customStyle="1" w:styleId="StrongEmphasis">
    <w:name w:val="Strong Emphasis"/>
    <w:qFormat/>
    <w:rsid w:val="00486956"/>
    <w:rPr>
      <w:b/>
      <w:bCs/>
    </w:rPr>
  </w:style>
  <w:style w:type="character" w:customStyle="1" w:styleId="Bullets">
    <w:name w:val="Bullets"/>
    <w:qFormat/>
    <w:rsid w:val="00486956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rsid w:val="00486956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486956"/>
    <w:pPr>
      <w:spacing w:after="283"/>
    </w:pPr>
  </w:style>
  <w:style w:type="paragraph" w:styleId="a4">
    <w:name w:val="List"/>
    <w:basedOn w:val="a3"/>
    <w:rsid w:val="00486956"/>
  </w:style>
  <w:style w:type="paragraph" w:customStyle="1" w:styleId="Caption">
    <w:name w:val="Caption"/>
    <w:basedOn w:val="a"/>
    <w:qFormat/>
    <w:rsid w:val="004869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86956"/>
    <w:pPr>
      <w:suppressLineNumbers/>
    </w:pPr>
  </w:style>
  <w:style w:type="paragraph" w:customStyle="1" w:styleId="HorizontalLine">
    <w:name w:val="Horizontal Line"/>
    <w:basedOn w:val="a"/>
    <w:next w:val="a3"/>
    <w:qFormat/>
    <w:rsid w:val="00486956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486956"/>
    <w:rPr>
      <w:i/>
    </w:rPr>
  </w:style>
  <w:style w:type="paragraph" w:customStyle="1" w:styleId="TableContents">
    <w:name w:val="Table Contents"/>
    <w:basedOn w:val="a3"/>
    <w:qFormat/>
    <w:rsid w:val="00486956"/>
  </w:style>
  <w:style w:type="paragraph" w:customStyle="1" w:styleId="Footer">
    <w:name w:val="Footer"/>
    <w:basedOn w:val="a"/>
    <w:rsid w:val="00486956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486956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rsid w:val="00486956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3892</Words>
  <Characters>22186</Characters>
  <Application>Microsoft Office Word</Application>
  <DocSecurity>0</DocSecurity>
  <Lines>184</Lines>
  <Paragraphs>52</Paragraphs>
  <ScaleCrop>false</ScaleCrop>
  <Company>Microsoft</Company>
  <LinksUpToDate>false</LinksUpToDate>
  <CharactersWithSpaces>26026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2</cp:revision>
  <dcterms:created xsi:type="dcterms:W3CDTF">2018-08-19T07:23:00Z</dcterms:created>
  <dcterms:modified xsi:type="dcterms:W3CDTF">2018-08-19T07:29:00Z</dcterms:modified>
  <dc:language>ru-RU</dc:language>
</cp:coreProperties>
</file>