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HAnsi" w:hAnsi="Times New Roman" w:cs="Times New Roman"/>
          <w:color w:val="5B9BD5" w:themeColor="accent1"/>
          <w:lang w:eastAsia="en-US"/>
        </w:rPr>
        <w:id w:val="-405544308"/>
        <w:docPartObj>
          <w:docPartGallery w:val="Cover Pages"/>
          <w:docPartUnique/>
        </w:docPartObj>
      </w:sdtPr>
      <w:sdtEndPr>
        <w:rPr>
          <w:rFonts w:eastAsiaTheme="majorEastAsia"/>
          <w:bCs/>
          <w:color w:val="262626" w:themeColor="text1" w:themeTint="D9"/>
          <w:sz w:val="48"/>
          <w:szCs w:val="48"/>
        </w:rPr>
      </w:sdtEndPr>
      <w:sdtContent>
        <w:p w:rsidR="004D4153" w:rsidRPr="004D4153" w:rsidRDefault="004D4153">
          <w:pPr>
            <w:pStyle w:val="a7"/>
            <w:spacing w:before="1540" w:after="24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sdt>
          <w:sdtPr>
            <w:rPr>
              <w:rFonts w:ascii="Times New Roman" w:eastAsiaTheme="majorEastAsia" w:hAnsi="Times New Roman" w:cs="Times New Roman"/>
              <w:caps/>
              <w:color w:val="5B9BD5" w:themeColor="accent1"/>
              <w:sz w:val="72"/>
              <w:szCs w:val="72"/>
            </w:rPr>
            <w:alias w:val="Название"/>
            <w:tag w:val=""/>
            <w:id w:val="1735040861"/>
            <w:placeholder>
              <w:docPart w:val="D1E445968E9F49C89CD74FBA000DB01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4D4153" w:rsidRPr="004D4153" w:rsidRDefault="00DF1D58" w:rsidP="00E21B2A">
              <w:pPr>
                <w:pStyle w:val="a7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color w:val="5B9BD5" w:themeColor="accent1"/>
                  <w:sz w:val="80"/>
                  <w:szCs w:val="80"/>
                </w:rPr>
              </w:pPr>
              <w:r>
                <w:rPr>
                  <w:rFonts w:ascii="Times New Roman" w:eastAsiaTheme="majorEastAsia" w:hAnsi="Times New Roman" w:cs="Times New Roman"/>
                  <w:color w:val="5B9BD5" w:themeColor="accent1"/>
                  <w:sz w:val="72"/>
                  <w:szCs w:val="72"/>
                </w:rPr>
                <w:t>Итоги инвестиционной деятельности                               за 1 квартал 2021 года</w:t>
              </w:r>
            </w:p>
          </w:sdtContent>
        </w:sdt>
        <w:p w:rsidR="004D4153" w:rsidRPr="004D4153" w:rsidRDefault="004D4153" w:rsidP="006B4343">
          <w:pPr>
            <w:pStyle w:val="a7"/>
            <w:rPr>
              <w:rFonts w:ascii="Times New Roman" w:hAnsi="Times New Roman" w:cs="Times New Roman"/>
              <w:color w:val="5B9BD5" w:themeColor="accent1"/>
              <w:sz w:val="56"/>
              <w:szCs w:val="56"/>
            </w:rPr>
          </w:pPr>
        </w:p>
        <w:p w:rsidR="004D4153" w:rsidRPr="004D4153" w:rsidRDefault="004D4153">
          <w:pPr>
            <w:pStyle w:val="a7"/>
            <w:spacing w:before="480"/>
            <w:jc w:val="center"/>
            <w:rPr>
              <w:rFonts w:ascii="Times New Roman" w:hAnsi="Times New Roman" w:cs="Times New Roman"/>
              <w:color w:val="5B9BD5" w:themeColor="accent1"/>
            </w:rPr>
          </w:pPr>
        </w:p>
        <w:p w:rsidR="00E21B2A" w:rsidRPr="00DF1D58" w:rsidRDefault="004D4153" w:rsidP="00DF1D58">
          <w:pPr>
            <w:rPr>
              <w:rFonts w:ascii="Times New Roman" w:eastAsiaTheme="majorEastAsia" w:hAnsi="Times New Roman" w:cs="Times New Roman"/>
              <w:bCs/>
              <w:color w:val="262626" w:themeColor="text1" w:themeTint="D9"/>
              <w:sz w:val="48"/>
              <w:szCs w:val="48"/>
              <w:lang w:eastAsia="ru-RU"/>
            </w:rPr>
          </w:pPr>
          <w:r>
            <w:rPr>
              <w:rFonts w:ascii="Times New Roman" w:eastAsiaTheme="majorEastAsia" w:hAnsi="Times New Roman" w:cs="Times New Roman"/>
              <w:bCs/>
              <w:noProof/>
              <w:color w:val="262626" w:themeColor="text1" w:themeTint="D9"/>
              <w:sz w:val="48"/>
              <w:szCs w:val="48"/>
              <w:lang w:eastAsia="ru-RU"/>
            </w:rPr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349250</wp:posOffset>
                </wp:positionV>
                <wp:extent cx="5834380" cy="3335020"/>
                <wp:effectExtent l="0" t="0" r="0" b="0"/>
                <wp:wrapNone/>
                <wp:docPr id="35" name="Рисуно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4380" cy="3335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D4153">
            <w:rPr>
              <w:rFonts w:ascii="Times New Roman" w:hAnsi="Times New Roman" w:cs="Times New Roman"/>
              <w:noProof/>
              <w:color w:val="5B9BD5" w:themeColor="accen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48512" behindDoc="0" locked="0" layoutInCell="1" allowOverlap="1">
                    <wp:simplePos x="0" y="0"/>
                    <wp:positionH relativeFrom="margin">
                      <wp:posOffset>0</wp:posOffset>
                    </wp:positionH>
                    <wp:positionV relativeFrom="page">
                      <wp:posOffset>9526270</wp:posOffset>
                    </wp:positionV>
                    <wp:extent cx="6553200" cy="557784"/>
                    <wp:effectExtent l="0" t="0" r="0" b="12700"/>
                    <wp:wrapNone/>
                    <wp:docPr id="142" name="Текстовое поле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5B9BD5" w:themeColor="accent1"/>
                                    <w:sz w:val="40"/>
                                    <w:szCs w:val="40"/>
                                  </w:rPr>
                                  <w:alias w:val="Дата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D43252" w:rsidRPr="00EA3EE0" w:rsidRDefault="00D43252">
                                    <w:pPr>
                                      <w:pStyle w:val="a7"/>
                                      <w:spacing w:after="4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</w:pPr>
                                    <w:r w:rsidRPr="00EA3EE0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202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>1</w:t>
                                    </w:r>
                                    <w:r w:rsidRPr="00EA3EE0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5B9BD5" w:themeColor="accent1"/>
                                        <w:sz w:val="40"/>
                                        <w:szCs w:val="40"/>
                                      </w:rPr>
                                      <w:t xml:space="preserve"> год</w:t>
                                    </w:r>
                                  </w:p>
                                </w:sdtContent>
                              </w:sdt>
                              <w:p w:rsidR="00D43252" w:rsidRPr="004D4153" w:rsidRDefault="00D43252" w:rsidP="004D4153">
                                <w:pPr>
                                  <w:pStyle w:val="a7"/>
                                  <w:rPr>
                                    <w:rFonts w:ascii="Times New Roman" w:hAnsi="Times New Roman" w:cs="Times New Roman"/>
                                    <w:color w:val="5B9BD5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42" o:spid="_x0000_s1026" type="#_x0000_t202" style="position:absolute;margin-left:0;margin-top:750.1pt;width:516pt;height:43.9pt;z-index:2516485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wylwIAAGkFAAAOAAAAZHJzL2Uyb0RvYy54bWysVM1uEzEQviPxDpbvdNOftFXUTRVaFSFV&#10;bUWKena8drPCaxvbyW64waPwCEi9gASvkL4Rn727aVW4FHGIM+v58cw338zRcVMpshTOl0bndHtr&#10;QInQ3BSlvs3p++uzV4eU+MB0wZTRIqcr4enx+OWLo9qOxI6ZG1UIRxBE+1FtczoPwY6yzPO5qJjf&#10;MlZoKKVxFQv4dLdZ4ViN6JXKdgaD/aw2rrDOcOE9bk9bJR2n+FIKHi6l9CIQlVPkFtLp0jmLZzY+&#10;YqNbx+y85F0a7B+yqFip8egm1CkLjCxc+UeoquTOeCPDFjdVZqQsuUg1oJrtwZNqpnNmRaoF4Hi7&#10;gcn/v7D8YnnlSFmgd3s7lGhWoUnrr+u79ff7z/df1j/X3/C7I+tf+PsBIZoBtNr6EXynFt6heW0a&#10;BOjvPS4jFo10VfxHlQR6wL/aQC6aQDgu94fDXfSREg7dcHhwcLgXw2QP3tb58EaYikQhpw4tTUiz&#10;5bkPrWlvEh/T5qxUKrVVaVLjhd3hIDlsNAiudLQViSBdmFhRm3mSwkqJaKP0OyEBUCogXiRqihPl&#10;yJKBVIxzoUOqPcWFdbSSSOI5jp39Q1bPcW7r6F82Omycq1Ibl6p/knbxoU9ZtvbA/FHdUQzNrOk6&#10;PTPFCo12pp0fb/lZiW6cMx+umMPAoIFYAuESh1QGqJtOomRu3Ke/3Ud78BhaSmoMYE79xwVzghL1&#10;VoPhcVp7wfXCrBf0ojoxgH8b68XyJMLBBdWL0pnqBrthEl+BimmOt3I668WT0K4B7BYuJpNkhJm0&#10;LJzrqeUxdOxG5NZ1c8Oc7QgYQN0L048mGz3hYWubiGIniwA2JpJGQFsUO6Axz4nm3e6JC+Pxd7J6&#10;2JDj3wAAAP//AwBQSwMEFAAGAAgAAAAhAK/KLYngAAAACwEAAA8AAABkcnMvZG93bnJldi54bWxM&#10;j8FOwzAQRO9I/IO1SFwQtQmCRiFOhVA5ICRUCge4OfGSRI3XUey2hq9nc4LjvhnNzpSr5AZxwCn0&#10;njRcLRQIpMbbnloN72+PlzmIEA1ZM3hCDd8YYFWdnpSmsP5Ir3jYxlZwCIXCaOhiHAspQ9OhM2Hh&#10;RyTWvvzkTORzaqWdzJHD3SAzpW6lMz3xh86M+NBhs9vunYan8PwTunX62Lws1/VFvbS7zxS1Pj9L&#10;93cgIqb4Z4a5PleHijvVfk82iEEDD4lMb5TKQMy6us6Y1TPLcwWyKuX/DdUvAAAA//8DAFBLAQIt&#10;ABQABgAIAAAAIQC2gziS/gAAAOEBAAATAAAAAAAAAAAAAAAAAAAAAABbQ29udGVudF9UeXBlc10u&#10;eG1sUEsBAi0AFAAGAAgAAAAhADj9If/WAAAAlAEAAAsAAAAAAAAAAAAAAAAALwEAAF9yZWxzLy5y&#10;ZWxzUEsBAi0AFAAGAAgAAAAhANnJrDKXAgAAaQUAAA4AAAAAAAAAAAAAAAAALgIAAGRycy9lMm9E&#10;b2MueG1sUEsBAi0AFAAGAAgAAAAhAK/KLYngAAAACwEAAA8AAAAAAAAAAAAAAAAA8QQAAGRycy9k&#10;b3ducmV2LnhtbFBLBQYAAAAABAAEAPMAAAD+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5B9BD5" w:themeColor="accent1"/>
                              <w:sz w:val="40"/>
                              <w:szCs w:val="40"/>
                            </w:rPr>
                            <w:alias w:val="Дата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D43252" w:rsidRPr="00EA3EE0" w:rsidRDefault="00D43252">
                              <w:pPr>
                                <w:pStyle w:val="a7"/>
                                <w:spacing w:after="40"/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EA3EE0"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>202</w:t>
                              </w:r>
                              <w:r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>1</w:t>
                              </w:r>
                              <w:r w:rsidRPr="00EA3EE0">
                                <w:rPr>
                                  <w:rFonts w:ascii="Times New Roman" w:hAnsi="Times New Roman" w:cs="Times New Roman"/>
                                  <w:caps/>
                                  <w:color w:val="5B9BD5" w:themeColor="accent1"/>
                                  <w:sz w:val="40"/>
                                  <w:szCs w:val="40"/>
                                </w:rPr>
                                <w:t xml:space="preserve"> год</w:t>
                              </w:r>
                            </w:p>
                          </w:sdtContent>
                        </w:sdt>
                        <w:p w:rsidR="00D43252" w:rsidRPr="004D4153" w:rsidRDefault="00D43252" w:rsidP="004D4153">
                          <w:pPr>
                            <w:pStyle w:val="a7"/>
                            <w:rPr>
                              <w:rFonts w:ascii="Times New Roman" w:hAnsi="Times New Roman" w:cs="Times New Roman"/>
                              <w:color w:val="5B9BD5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4D4153">
            <w:rPr>
              <w:rFonts w:ascii="Times New Roman" w:eastAsiaTheme="majorEastAsia" w:hAnsi="Times New Roman" w:cs="Times New Roman"/>
              <w:bCs/>
              <w:color w:val="262626" w:themeColor="text1" w:themeTint="D9"/>
              <w:sz w:val="48"/>
              <w:szCs w:val="48"/>
              <w:lang w:eastAsia="ru-RU"/>
            </w:rPr>
            <w:br w:type="page"/>
          </w:r>
        </w:p>
      </w:sdtContent>
    </w:sdt>
    <w:p w:rsidR="00B55E96" w:rsidRDefault="00F81C4B" w:rsidP="001657ED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 w:rsidRPr="00F81C4B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lastRenderedPageBreak/>
        <w:t xml:space="preserve">1. </w:t>
      </w:r>
      <w:r w:rsidR="00DF1D58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Объем инвестиций в основной капитал</w:t>
      </w:r>
    </w:p>
    <w:p w:rsidR="00DC783A" w:rsidRPr="00DC783A" w:rsidRDefault="00792E4D" w:rsidP="00DC783A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046C8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По итогам </w:t>
      </w:r>
      <w:r w:rsidR="00DF1D5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1 квартала </w:t>
      </w:r>
      <w:r w:rsidRPr="00046C8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202</w:t>
      </w:r>
      <w:r w:rsidR="00DF1D5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1</w:t>
      </w:r>
      <w:r w:rsidRPr="00046C8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года г. Кисловодск занял </w:t>
      </w:r>
      <w:r w:rsidR="00DF1D5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11</w:t>
      </w:r>
      <w:r w:rsidRPr="00046C8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место среди муниципальных и городских городов Ставропольского края и 2 место </w:t>
      </w:r>
      <w:r w:rsidR="00DF1D5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</w:r>
      <w:r w:rsidRPr="00046C8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(после г. </w:t>
      </w:r>
      <w:r w:rsidR="00DF1D5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Ессентуки</w:t>
      </w:r>
      <w:r w:rsidRPr="00046C8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) среди городов Кавказских Минеральных Вод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по объему привлеченных инвестиций в основной капитал</w:t>
      </w:r>
      <w:r w:rsidRPr="00046C8C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.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DC783A" w:rsidRPr="00DF1D58" w:rsidRDefault="00DC783A" w:rsidP="00DC783A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sz w:val="28"/>
        </w:rPr>
      </w:pPr>
      <w:r w:rsidRPr="00FA35CB">
        <w:rPr>
          <w:rFonts w:ascii="Times New Roman" w:eastAsia="Calibri" w:hAnsi="Times New Roman" w:cs="Arial"/>
          <w:sz w:val="28"/>
        </w:rPr>
        <w:t>Суммарный объем освоенных инвестиций состав</w:t>
      </w:r>
      <w:r>
        <w:rPr>
          <w:rFonts w:ascii="Times New Roman" w:eastAsia="Calibri" w:hAnsi="Times New Roman" w:cs="Arial"/>
          <w:sz w:val="28"/>
        </w:rPr>
        <w:t>ил</w:t>
      </w:r>
      <w:r w:rsidRPr="00FA35CB">
        <w:rPr>
          <w:rFonts w:ascii="Times New Roman" w:eastAsia="Calibri" w:hAnsi="Times New Roman" w:cs="Arial"/>
          <w:sz w:val="28"/>
        </w:rPr>
        <w:t xml:space="preserve"> </w:t>
      </w:r>
      <w:r>
        <w:rPr>
          <w:rFonts w:ascii="Times New Roman" w:eastAsia="Calibri" w:hAnsi="Times New Roman" w:cs="Arial"/>
          <w:sz w:val="28"/>
        </w:rPr>
        <w:br/>
        <w:t>1,0</w:t>
      </w:r>
      <w:r w:rsidRPr="00FA35CB">
        <w:rPr>
          <w:rFonts w:ascii="Times New Roman" w:eastAsia="Calibri" w:hAnsi="Times New Roman" w:cs="Arial"/>
          <w:sz w:val="28"/>
        </w:rPr>
        <w:t>9</w:t>
      </w:r>
      <w:r>
        <w:rPr>
          <w:rFonts w:ascii="Times New Roman" w:eastAsia="Calibri" w:hAnsi="Times New Roman" w:cs="Arial"/>
          <w:sz w:val="28"/>
        </w:rPr>
        <w:t xml:space="preserve">3 </w:t>
      </w:r>
      <w:r w:rsidRPr="00FA35CB">
        <w:rPr>
          <w:rFonts w:ascii="Times New Roman" w:eastAsia="Calibri" w:hAnsi="Times New Roman" w:cs="Arial"/>
          <w:sz w:val="28"/>
        </w:rPr>
        <w:t xml:space="preserve">млрд. руб., что на </w:t>
      </w:r>
      <w:r w:rsidR="00CB10DA">
        <w:rPr>
          <w:rFonts w:ascii="Times New Roman" w:eastAsia="Calibri" w:hAnsi="Times New Roman" w:cs="Arial"/>
          <w:sz w:val="28"/>
        </w:rPr>
        <w:t>702</w:t>
      </w:r>
      <w:r w:rsidRPr="00FA35CB">
        <w:rPr>
          <w:rFonts w:ascii="Times New Roman" w:eastAsia="Calibri" w:hAnsi="Times New Roman" w:cs="Arial"/>
          <w:sz w:val="28"/>
        </w:rPr>
        <w:t>,</w:t>
      </w:r>
      <w:r w:rsidR="00CB10DA">
        <w:rPr>
          <w:rFonts w:ascii="Times New Roman" w:eastAsia="Calibri" w:hAnsi="Times New Roman" w:cs="Arial"/>
          <w:sz w:val="28"/>
        </w:rPr>
        <w:t>9</w:t>
      </w:r>
      <w:r w:rsidRPr="00FA35CB">
        <w:rPr>
          <w:rFonts w:ascii="Times New Roman" w:eastAsia="Calibri" w:hAnsi="Times New Roman" w:cs="Arial"/>
          <w:sz w:val="28"/>
        </w:rPr>
        <w:t xml:space="preserve"> млн. руб. или </w:t>
      </w:r>
      <w:r>
        <w:rPr>
          <w:rFonts w:ascii="Times New Roman" w:eastAsia="Calibri" w:hAnsi="Times New Roman" w:cs="Arial"/>
          <w:sz w:val="28"/>
        </w:rPr>
        <w:t>в 2,8 раза больше чем за аналогичный период 20</w:t>
      </w:r>
      <w:r w:rsidR="00EF0032">
        <w:rPr>
          <w:rFonts w:ascii="Times New Roman" w:eastAsia="Calibri" w:hAnsi="Times New Roman" w:cs="Arial"/>
          <w:sz w:val="28"/>
        </w:rPr>
        <w:t>20</w:t>
      </w:r>
      <w:r>
        <w:rPr>
          <w:rFonts w:ascii="Times New Roman" w:eastAsia="Calibri" w:hAnsi="Times New Roman" w:cs="Arial"/>
          <w:sz w:val="28"/>
        </w:rPr>
        <w:t xml:space="preserve"> г.</w:t>
      </w:r>
      <w:r w:rsidR="00CB10DA">
        <w:rPr>
          <w:rFonts w:ascii="Times New Roman" w:eastAsia="Calibri" w:hAnsi="Times New Roman" w:cs="Arial"/>
          <w:sz w:val="28"/>
        </w:rPr>
        <w:t xml:space="preserve"> </w:t>
      </w:r>
      <w:r w:rsidR="00CB10DA" w:rsidRPr="00CB10DA">
        <w:rPr>
          <w:rFonts w:ascii="Times New Roman" w:eastAsia="Calibri" w:hAnsi="Times New Roman" w:cs="Arial"/>
          <w:b/>
          <w:sz w:val="28"/>
        </w:rPr>
        <w:t>(диаграмма 1)</w:t>
      </w:r>
      <w:r>
        <w:rPr>
          <w:rFonts w:ascii="Times New Roman" w:eastAsia="Calibri" w:hAnsi="Times New Roman" w:cs="Arial"/>
          <w:sz w:val="28"/>
        </w:rPr>
        <w:t xml:space="preserve">, </w:t>
      </w:r>
      <w:r w:rsidRPr="00FA35CB">
        <w:rPr>
          <w:rFonts w:ascii="Times New Roman" w:eastAsia="Calibri" w:hAnsi="Times New Roman" w:cs="Arial"/>
          <w:sz w:val="28"/>
        </w:rPr>
        <w:t>из них:</w:t>
      </w:r>
    </w:p>
    <w:p w:rsidR="00DC783A" w:rsidRPr="00EF0032" w:rsidRDefault="00DC783A" w:rsidP="00EF0032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sz w:val="28"/>
        </w:rPr>
      </w:pPr>
      <w:r>
        <w:rPr>
          <w:rFonts w:ascii="Times New Roman" w:eastAsia="Calibri" w:hAnsi="Times New Roman" w:cs="Arial"/>
          <w:sz w:val="28"/>
        </w:rPr>
        <w:t xml:space="preserve">- </w:t>
      </w:r>
      <w:r w:rsidR="00CB10DA">
        <w:rPr>
          <w:rFonts w:ascii="Times New Roman" w:eastAsia="Calibri" w:hAnsi="Times New Roman" w:cs="Arial"/>
          <w:sz w:val="28"/>
        </w:rPr>
        <w:t>бюджетные инвестиции</w:t>
      </w:r>
      <w:r w:rsidRPr="00FA35CB">
        <w:rPr>
          <w:rFonts w:ascii="Times New Roman" w:eastAsia="Calibri" w:hAnsi="Times New Roman" w:cs="Arial"/>
          <w:sz w:val="28"/>
        </w:rPr>
        <w:t xml:space="preserve"> – </w:t>
      </w:r>
      <w:r w:rsidR="00EF0032">
        <w:rPr>
          <w:rFonts w:ascii="Times New Roman" w:eastAsia="Calibri" w:hAnsi="Times New Roman" w:cs="Arial"/>
          <w:sz w:val="28"/>
        </w:rPr>
        <w:t>586,8</w:t>
      </w:r>
      <w:r w:rsidRPr="00FA35CB">
        <w:rPr>
          <w:rFonts w:ascii="Times New Roman" w:eastAsia="Calibri" w:hAnsi="Times New Roman" w:cs="Arial"/>
          <w:sz w:val="28"/>
        </w:rPr>
        <w:t xml:space="preserve"> млн. руб. </w:t>
      </w:r>
      <w:r>
        <w:rPr>
          <w:rFonts w:ascii="Times New Roman" w:eastAsia="Calibri" w:hAnsi="Times New Roman" w:cs="Arial"/>
          <w:sz w:val="28"/>
        </w:rPr>
        <w:br/>
      </w:r>
      <w:r w:rsidRPr="00FA35CB">
        <w:rPr>
          <w:rFonts w:ascii="Times New Roman" w:eastAsia="Calibri" w:hAnsi="Times New Roman" w:cs="Arial"/>
          <w:sz w:val="28"/>
        </w:rPr>
        <w:t xml:space="preserve">(что в </w:t>
      </w:r>
      <w:r w:rsidR="00EF0032">
        <w:rPr>
          <w:rFonts w:ascii="Times New Roman" w:eastAsia="Calibri" w:hAnsi="Times New Roman" w:cs="Arial"/>
          <w:sz w:val="28"/>
        </w:rPr>
        <w:t>2</w:t>
      </w:r>
      <w:r w:rsidRPr="00FA35CB">
        <w:rPr>
          <w:rFonts w:ascii="Times New Roman" w:eastAsia="Calibri" w:hAnsi="Times New Roman" w:cs="Arial"/>
          <w:sz w:val="28"/>
        </w:rPr>
        <w:t>,</w:t>
      </w:r>
      <w:r w:rsidR="00EF0032">
        <w:rPr>
          <w:rFonts w:ascii="Times New Roman" w:eastAsia="Calibri" w:hAnsi="Times New Roman" w:cs="Arial"/>
          <w:sz w:val="28"/>
        </w:rPr>
        <w:t>6</w:t>
      </w:r>
      <w:r w:rsidRPr="00FA35CB">
        <w:rPr>
          <w:rFonts w:ascii="Times New Roman" w:eastAsia="Calibri" w:hAnsi="Times New Roman" w:cs="Arial"/>
          <w:sz w:val="28"/>
        </w:rPr>
        <w:t xml:space="preserve"> раза или на </w:t>
      </w:r>
      <w:r w:rsidR="00EF0032">
        <w:rPr>
          <w:rFonts w:ascii="Times New Roman" w:eastAsia="Calibri" w:hAnsi="Times New Roman" w:cs="Arial"/>
          <w:sz w:val="28"/>
        </w:rPr>
        <w:t>362,8 млн. руб. больше</w:t>
      </w:r>
      <w:r w:rsidRPr="00FA35CB">
        <w:rPr>
          <w:rFonts w:ascii="Times New Roman" w:eastAsia="Calibri" w:hAnsi="Times New Roman" w:cs="Arial"/>
          <w:sz w:val="28"/>
        </w:rPr>
        <w:t xml:space="preserve"> чем в 20</w:t>
      </w:r>
      <w:r w:rsidR="00EF0032">
        <w:rPr>
          <w:rFonts w:ascii="Times New Roman" w:eastAsia="Calibri" w:hAnsi="Times New Roman" w:cs="Arial"/>
          <w:sz w:val="28"/>
        </w:rPr>
        <w:t>20</w:t>
      </w:r>
      <w:r w:rsidRPr="00FA35CB">
        <w:rPr>
          <w:rFonts w:ascii="Times New Roman" w:eastAsia="Calibri" w:hAnsi="Times New Roman" w:cs="Arial"/>
          <w:sz w:val="28"/>
        </w:rPr>
        <w:t xml:space="preserve"> г.);</w:t>
      </w:r>
      <w:r w:rsidRPr="00FA35CB">
        <w:rPr>
          <w:rFonts w:ascii="Times New Roman" w:eastAsia="Calibri" w:hAnsi="Times New Roman" w:cs="Arial"/>
          <w:b/>
          <w:sz w:val="32"/>
          <w:szCs w:val="32"/>
        </w:rPr>
        <w:t xml:space="preserve"> </w:t>
      </w:r>
      <w:r w:rsidRPr="00FA35CB">
        <w:rPr>
          <w:rFonts w:ascii="Times New Roman" w:eastAsia="Calibri" w:hAnsi="Times New Roman" w:cs="Arial"/>
          <w:sz w:val="28"/>
        </w:rPr>
        <w:t xml:space="preserve"> </w:t>
      </w:r>
    </w:p>
    <w:p w:rsidR="00CB10DA" w:rsidRDefault="00CB10DA" w:rsidP="00DC783A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- </w:t>
      </w:r>
      <w:r w:rsidRPr="00CB10DA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внебюджетные инвестиции, освоенные субъектами </w:t>
      </w:r>
      <w:r w:rsidR="00EF0032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среднего предпринимательства </w:t>
      </w:r>
      <w:r w:rsidR="00EF0032" w:rsidRPr="00FA35CB">
        <w:rPr>
          <w:rFonts w:ascii="Times New Roman" w:eastAsia="Calibri" w:hAnsi="Times New Roman" w:cs="Arial"/>
          <w:sz w:val="28"/>
        </w:rPr>
        <w:t xml:space="preserve">– </w:t>
      </w:r>
      <w:r w:rsidR="00EF0032">
        <w:rPr>
          <w:rFonts w:ascii="Times New Roman" w:eastAsia="Calibri" w:hAnsi="Times New Roman" w:cs="Arial"/>
          <w:sz w:val="28"/>
        </w:rPr>
        <w:t>320,8</w:t>
      </w:r>
      <w:r w:rsidR="00EF0032" w:rsidRPr="00FA35CB">
        <w:rPr>
          <w:rFonts w:ascii="Times New Roman" w:eastAsia="Calibri" w:hAnsi="Times New Roman" w:cs="Arial"/>
          <w:sz w:val="28"/>
        </w:rPr>
        <w:t xml:space="preserve"> млн</w:t>
      </w:r>
      <w:r w:rsidR="00EF0032">
        <w:rPr>
          <w:rFonts w:ascii="Times New Roman" w:eastAsia="Calibri" w:hAnsi="Times New Roman" w:cs="Arial"/>
          <w:sz w:val="28"/>
        </w:rPr>
        <w:t xml:space="preserve">. руб. </w:t>
      </w:r>
      <w:r w:rsidR="00EF0032" w:rsidRPr="00FA35CB">
        <w:rPr>
          <w:rFonts w:ascii="Times New Roman" w:eastAsia="Calibri" w:hAnsi="Times New Roman" w:cs="Arial"/>
          <w:sz w:val="28"/>
        </w:rPr>
        <w:t xml:space="preserve">(что в </w:t>
      </w:r>
      <w:r w:rsidR="00EF0032">
        <w:rPr>
          <w:rFonts w:ascii="Times New Roman" w:eastAsia="Calibri" w:hAnsi="Times New Roman" w:cs="Arial"/>
          <w:sz w:val="28"/>
        </w:rPr>
        <w:t>3</w:t>
      </w:r>
      <w:r w:rsidR="00EF0032" w:rsidRPr="00FA35CB">
        <w:rPr>
          <w:rFonts w:ascii="Times New Roman" w:eastAsia="Calibri" w:hAnsi="Times New Roman" w:cs="Arial"/>
          <w:sz w:val="28"/>
        </w:rPr>
        <w:t>,</w:t>
      </w:r>
      <w:r w:rsidR="00EF0032">
        <w:rPr>
          <w:rFonts w:ascii="Times New Roman" w:eastAsia="Calibri" w:hAnsi="Times New Roman" w:cs="Arial"/>
          <w:sz w:val="28"/>
        </w:rPr>
        <w:t>7</w:t>
      </w:r>
      <w:r w:rsidR="00EF0032" w:rsidRPr="00FA35CB">
        <w:rPr>
          <w:rFonts w:ascii="Times New Roman" w:eastAsia="Calibri" w:hAnsi="Times New Roman" w:cs="Arial"/>
          <w:sz w:val="28"/>
        </w:rPr>
        <w:t xml:space="preserve"> раза или на </w:t>
      </w:r>
      <w:r w:rsidR="00EF0032">
        <w:rPr>
          <w:rFonts w:ascii="Times New Roman" w:eastAsia="Calibri" w:hAnsi="Times New Roman" w:cs="Arial"/>
          <w:sz w:val="28"/>
        </w:rPr>
        <w:t xml:space="preserve">234,6 млн. руб. больше </w:t>
      </w:r>
      <w:r w:rsidR="00EF0032" w:rsidRPr="00FA35CB">
        <w:rPr>
          <w:rFonts w:ascii="Times New Roman" w:eastAsia="Calibri" w:hAnsi="Times New Roman" w:cs="Arial"/>
          <w:sz w:val="28"/>
        </w:rPr>
        <w:t>чем в 20</w:t>
      </w:r>
      <w:r w:rsidR="00EF0032">
        <w:rPr>
          <w:rFonts w:ascii="Times New Roman" w:eastAsia="Calibri" w:hAnsi="Times New Roman" w:cs="Arial"/>
          <w:sz w:val="28"/>
        </w:rPr>
        <w:t>20</w:t>
      </w:r>
      <w:r w:rsidR="00EF0032" w:rsidRPr="00FA35CB">
        <w:rPr>
          <w:rFonts w:ascii="Times New Roman" w:eastAsia="Calibri" w:hAnsi="Times New Roman" w:cs="Arial"/>
          <w:sz w:val="28"/>
        </w:rPr>
        <w:t xml:space="preserve"> г.);</w:t>
      </w:r>
      <w:r w:rsidR="00EF0032" w:rsidRPr="00FA35CB">
        <w:rPr>
          <w:rFonts w:ascii="Times New Roman" w:eastAsia="Calibri" w:hAnsi="Times New Roman" w:cs="Arial"/>
          <w:b/>
          <w:sz w:val="32"/>
          <w:szCs w:val="32"/>
        </w:rPr>
        <w:t xml:space="preserve"> </w:t>
      </w:r>
      <w:r w:rsidR="00EF0032" w:rsidRPr="00FA35CB">
        <w:rPr>
          <w:rFonts w:ascii="Times New Roman" w:eastAsia="Calibri" w:hAnsi="Times New Roman" w:cs="Arial"/>
          <w:sz w:val="28"/>
        </w:rPr>
        <w:t xml:space="preserve"> </w:t>
      </w:r>
    </w:p>
    <w:p w:rsidR="00DC783A" w:rsidRDefault="00DC783A" w:rsidP="00DC783A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- </w:t>
      </w:r>
      <w:r w:rsidRPr="00FA35C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внебюджетные инвестиции, освоенные субъект</w:t>
      </w:r>
      <w:r w:rsidR="00CB10DA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ами малого предпринимательства</w:t>
      </w:r>
      <w:r w:rsidR="0084760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и физическими лицами</w:t>
      </w:r>
      <w:r w:rsidR="00EF0032" w:rsidRPr="00FA35CB">
        <w:rPr>
          <w:rFonts w:ascii="Times New Roman" w:eastAsia="Calibri" w:hAnsi="Times New Roman" w:cs="Arial"/>
          <w:sz w:val="28"/>
        </w:rPr>
        <w:t xml:space="preserve">– </w:t>
      </w:r>
      <w:r w:rsidR="00EF0032">
        <w:rPr>
          <w:rFonts w:ascii="Times New Roman" w:eastAsia="Calibri" w:hAnsi="Times New Roman" w:cs="Arial"/>
          <w:sz w:val="28"/>
        </w:rPr>
        <w:t>185,7</w:t>
      </w:r>
      <w:r w:rsidR="00EF0032" w:rsidRPr="00FA35CB">
        <w:rPr>
          <w:rFonts w:ascii="Times New Roman" w:eastAsia="Calibri" w:hAnsi="Times New Roman" w:cs="Arial"/>
          <w:sz w:val="28"/>
        </w:rPr>
        <w:t xml:space="preserve"> млн</w:t>
      </w:r>
      <w:r w:rsidR="00EF0032">
        <w:rPr>
          <w:rFonts w:ascii="Times New Roman" w:eastAsia="Calibri" w:hAnsi="Times New Roman" w:cs="Arial"/>
          <w:sz w:val="28"/>
        </w:rPr>
        <w:t xml:space="preserve">. руб. </w:t>
      </w:r>
      <w:r w:rsidR="00EF0032" w:rsidRPr="00FA35CB">
        <w:rPr>
          <w:rFonts w:ascii="Times New Roman" w:eastAsia="Calibri" w:hAnsi="Times New Roman" w:cs="Arial"/>
          <w:sz w:val="28"/>
        </w:rPr>
        <w:t xml:space="preserve">(что в </w:t>
      </w:r>
      <w:r w:rsidR="00EF0032">
        <w:rPr>
          <w:rFonts w:ascii="Times New Roman" w:eastAsia="Calibri" w:hAnsi="Times New Roman" w:cs="Arial"/>
          <w:sz w:val="28"/>
        </w:rPr>
        <w:t>2</w:t>
      </w:r>
      <w:r w:rsidR="00EF0032" w:rsidRPr="00FA35CB">
        <w:rPr>
          <w:rFonts w:ascii="Times New Roman" w:eastAsia="Calibri" w:hAnsi="Times New Roman" w:cs="Arial"/>
          <w:sz w:val="28"/>
        </w:rPr>
        <w:t>,</w:t>
      </w:r>
      <w:r w:rsidR="00EF0032">
        <w:rPr>
          <w:rFonts w:ascii="Times New Roman" w:eastAsia="Calibri" w:hAnsi="Times New Roman" w:cs="Arial"/>
          <w:sz w:val="28"/>
        </w:rPr>
        <w:t>3</w:t>
      </w:r>
      <w:r w:rsidR="00EF0032" w:rsidRPr="00FA35CB">
        <w:rPr>
          <w:rFonts w:ascii="Times New Roman" w:eastAsia="Calibri" w:hAnsi="Times New Roman" w:cs="Arial"/>
          <w:sz w:val="28"/>
        </w:rPr>
        <w:t xml:space="preserve"> раза или на </w:t>
      </w:r>
      <w:r w:rsidR="00EF0032">
        <w:rPr>
          <w:rFonts w:ascii="Times New Roman" w:eastAsia="Calibri" w:hAnsi="Times New Roman" w:cs="Arial"/>
          <w:sz w:val="28"/>
        </w:rPr>
        <w:t xml:space="preserve">105,5 млн. руб. больше </w:t>
      </w:r>
      <w:r w:rsidR="00EF0032" w:rsidRPr="00FA35CB">
        <w:rPr>
          <w:rFonts w:ascii="Times New Roman" w:eastAsia="Calibri" w:hAnsi="Times New Roman" w:cs="Arial"/>
          <w:sz w:val="28"/>
        </w:rPr>
        <w:t>чем в 20</w:t>
      </w:r>
      <w:r w:rsidR="00EF0032">
        <w:rPr>
          <w:rFonts w:ascii="Times New Roman" w:eastAsia="Calibri" w:hAnsi="Times New Roman" w:cs="Arial"/>
          <w:sz w:val="28"/>
        </w:rPr>
        <w:t>20 г.)</w:t>
      </w:r>
      <w:r w:rsidR="00EF0032" w:rsidRPr="00FA35CB">
        <w:rPr>
          <w:rFonts w:ascii="Times New Roman" w:eastAsia="Calibri" w:hAnsi="Times New Roman" w:cs="Arial"/>
          <w:sz w:val="28"/>
        </w:rPr>
        <w:t xml:space="preserve"> </w:t>
      </w:r>
      <w:r w:rsidR="00CB10DA" w:rsidRPr="00CB10DA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(диаграмма 2)</w:t>
      </w:r>
      <w:r w:rsidRPr="00CB10DA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</w:t>
      </w:r>
    </w:p>
    <w:p w:rsidR="00EF0032" w:rsidRPr="002F41F8" w:rsidRDefault="00EF0032" w:rsidP="002F41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1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</w:p>
    <w:p w:rsidR="00EF0032" w:rsidRPr="00DF1D58" w:rsidRDefault="00EF0032" w:rsidP="00EF00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Освоенные инвестиции в основной капитал, млн. руб.</w:t>
      </w:r>
    </w:p>
    <w:p w:rsidR="00EF0032" w:rsidRDefault="00EF0032" w:rsidP="00EF00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1D58">
        <w:rPr>
          <w:rFonts w:ascii="Times New Roman" w:eastAsia="Calibri" w:hAnsi="Times New Roman" w:cs="Arial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02C61213" wp14:editId="03B01D47">
            <wp:simplePos x="0" y="0"/>
            <wp:positionH relativeFrom="column">
              <wp:posOffset>3810</wp:posOffset>
            </wp:positionH>
            <wp:positionV relativeFrom="paragraph">
              <wp:posOffset>43180</wp:posOffset>
            </wp:positionV>
            <wp:extent cx="6419850" cy="1752600"/>
            <wp:effectExtent l="0" t="0" r="0" b="0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032" w:rsidRDefault="00EF0032" w:rsidP="00EF0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032" w:rsidRDefault="00EF0032" w:rsidP="00EF0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032" w:rsidRDefault="00EF0032" w:rsidP="00EF0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032" w:rsidRDefault="00EF0032" w:rsidP="00EF0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032" w:rsidRDefault="00EF0032" w:rsidP="00EF0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032" w:rsidRDefault="00EF0032" w:rsidP="00EF0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032" w:rsidRDefault="00EF0032" w:rsidP="00EF0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032" w:rsidRDefault="00EF0032" w:rsidP="00EF0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032" w:rsidRDefault="00EF0032" w:rsidP="00EF003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032" w:rsidRPr="00DF1D58" w:rsidRDefault="00EF0032" w:rsidP="00EF0032">
      <w:pPr>
        <w:spacing w:after="0" w:line="276" w:lineRule="auto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2F41F8" w:rsidRPr="002F41F8" w:rsidRDefault="00DF1D58" w:rsidP="002F41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1D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Диаграмма </w:t>
      </w:r>
      <w:r w:rsidR="003F1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DF1D58" w:rsidRPr="00EF0032" w:rsidRDefault="00DF1D58" w:rsidP="00EF00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Освоенные инвестиции в основной капитал</w:t>
      </w:r>
      <w:r w:rsidR="003F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(по источникам финансирования)</w:t>
      </w:r>
      <w:r w:rsidR="00EF0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млн. руб.</w:t>
      </w:r>
    </w:p>
    <w:p w:rsidR="00DF1D58" w:rsidRPr="00DF1D58" w:rsidRDefault="0056628B" w:rsidP="00DF1D5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  <w:r w:rsidRPr="00DF1D58">
        <w:rPr>
          <w:rFonts w:ascii="Times New Roman" w:eastAsia="Calibri" w:hAnsi="Times New Roman" w:cs="Arial"/>
          <w:noProof/>
          <w:sz w:val="28"/>
          <w:lang w:eastAsia="ru-RU"/>
        </w:rPr>
        <w:drawing>
          <wp:anchor distT="0" distB="0" distL="114300" distR="114300" simplePos="0" relativeHeight="251651584" behindDoc="0" locked="0" layoutInCell="1" allowOverlap="1" wp14:anchorId="0B83B8C2" wp14:editId="57539F13">
            <wp:simplePos x="0" y="0"/>
            <wp:positionH relativeFrom="column">
              <wp:posOffset>51435</wp:posOffset>
            </wp:positionH>
            <wp:positionV relativeFrom="paragraph">
              <wp:posOffset>9525</wp:posOffset>
            </wp:positionV>
            <wp:extent cx="6257925" cy="2657475"/>
            <wp:effectExtent l="0" t="0" r="9525" b="9525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D58" w:rsidRPr="00DF1D58" w:rsidRDefault="00DF1D58" w:rsidP="00DF1D5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DF1D58" w:rsidRPr="00DF1D58" w:rsidRDefault="00DF1D58" w:rsidP="00DF1D5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DF1D58" w:rsidRPr="00DF1D58" w:rsidRDefault="00DF1D58" w:rsidP="00DF1D5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DF1D58" w:rsidRPr="00DF1D58" w:rsidRDefault="00DF1D58" w:rsidP="00DF1D5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DF1D58" w:rsidRPr="00DF1D58" w:rsidRDefault="00DF1D58" w:rsidP="00DF1D5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DF1D58" w:rsidRPr="00DF1D58" w:rsidRDefault="00DF1D58" w:rsidP="00DF1D5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DF1D58" w:rsidRPr="00DF1D58" w:rsidRDefault="00DF1D58" w:rsidP="00DF1D5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DF1D58" w:rsidRPr="00DF1D58" w:rsidRDefault="00DF1D58" w:rsidP="00DF1D58">
      <w:pPr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</w:rPr>
      </w:pPr>
    </w:p>
    <w:p w:rsidR="00792E4D" w:rsidRDefault="00792E4D" w:rsidP="00EF0032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792E4D" w:rsidRDefault="00792E4D" w:rsidP="00E03D5D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2F41F8" w:rsidRDefault="002F41F8" w:rsidP="00E03D5D">
      <w:pPr>
        <w:spacing w:after="0" w:line="276" w:lineRule="auto"/>
        <w:ind w:firstLine="567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2F41F8" w:rsidRDefault="002F41F8" w:rsidP="002F41F8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67CC6" w:rsidRDefault="00F81C4B" w:rsidP="00EF0032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2. </w:t>
      </w:r>
      <w:r w:rsidR="00E67CC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Реализованные инвестиционные проекты в </w:t>
      </w:r>
      <w:r w:rsidR="00EF0032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1 кв. </w:t>
      </w:r>
      <w:r w:rsidR="00E67CC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202</w:t>
      </w:r>
      <w:r w:rsidR="00EF0032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1</w:t>
      </w:r>
      <w:r w:rsidR="00E67CC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год</w:t>
      </w:r>
      <w:r w:rsidR="00EF0032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а</w:t>
      </w:r>
      <w:r w:rsidR="00E67CC6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.</w:t>
      </w:r>
    </w:p>
    <w:p w:rsidR="00F81C4B" w:rsidRDefault="007B4E12" w:rsidP="00CC351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периоде</w:t>
      </w:r>
      <w:r w:rsidR="003E754B" w:rsidRPr="00E67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реализовано </w:t>
      </w:r>
      <w:r w:rsidR="00CC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проектов (в </w:t>
      </w:r>
      <w:proofErr w:type="spellStart"/>
      <w:r w:rsidR="00CC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CC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E754B"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за счет частных инвестиций</w:t>
      </w:r>
      <w:r w:rsidR="00CC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E754B"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на </w:t>
      </w:r>
      <w:r w:rsidR="00CC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95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за аналогичный период 20</w:t>
      </w:r>
      <w:r w:rsidR="0095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По </w:t>
      </w:r>
      <w:r w:rsidR="00CC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итогам реализации проектов, 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стоимостью </w:t>
      </w:r>
      <w:r w:rsidR="00CC3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405,9</w:t>
      </w:r>
      <w:r w:rsidR="00CC2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руб. </w:t>
      </w:r>
      <w:r w:rsidR="00450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создано </w:t>
      </w:r>
      <w:r w:rsidR="00A1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="003E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постоянных рабочих мест</w:t>
      </w:r>
      <w:r w:rsidR="00A12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51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</w:t>
      </w:r>
      <w:r w:rsidR="003E7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коечных мест.  </w:t>
      </w:r>
      <w:r w:rsidR="003E754B" w:rsidRPr="00B80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03E3" w:rsidRDefault="003E754B" w:rsidP="00F81C4B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90679B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</w:t>
      </w:r>
      <w:r w:rsidR="0095118A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1</w:t>
      </w:r>
      <w:r w:rsidR="00311AD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EF30D8" w:rsidRPr="003158D0" w:rsidRDefault="00E84707" w:rsidP="00A04DC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Количество созданных коечных и рабочих мест по п</w:t>
      </w:r>
      <w:r w:rsidR="00311AD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роект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ам</w:t>
      </w:r>
      <w:r w:rsidR="00311AD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 </w:t>
      </w:r>
      <w:r w:rsidR="00ED03E3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</w:r>
      <w:r w:rsidR="00311AD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реализованны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м</w:t>
      </w:r>
      <w:r w:rsidR="002F41F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в 2021</w:t>
      </w:r>
      <w:r w:rsidR="00A04DC9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="002F41F8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году</w:t>
      </w:r>
    </w:p>
    <w:tbl>
      <w:tblPr>
        <w:tblpPr w:leftFromText="180" w:rightFromText="180" w:vertAnchor="text" w:horzAnchor="margin" w:tblpXSpec="center" w:tblpY="323"/>
        <w:tblW w:w="10216" w:type="dxa"/>
        <w:tblLayout w:type="fixed"/>
        <w:tblLook w:val="04A0" w:firstRow="1" w:lastRow="0" w:firstColumn="1" w:lastColumn="0" w:noHBand="0" w:noVBand="1"/>
      </w:tblPr>
      <w:tblGrid>
        <w:gridCol w:w="562"/>
        <w:gridCol w:w="7069"/>
        <w:gridCol w:w="1275"/>
        <w:gridCol w:w="1310"/>
      </w:tblGrid>
      <w:tr w:rsidR="003E754B" w:rsidRPr="00F1785E" w:rsidTr="00E67CC6">
        <w:trPr>
          <w:trHeight w:val="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311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Коечные места, ед.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места, ед.</w:t>
            </w:r>
          </w:p>
        </w:tc>
      </w:tr>
      <w:tr w:rsidR="003E754B" w:rsidRPr="00F1785E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E754B" w:rsidRPr="00F1785E" w:rsidTr="007B4E12">
        <w:trPr>
          <w:trHeight w:val="70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2" w:rsidRDefault="00D43252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3E754B" w:rsidRPr="00F1785E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A04DC9" w:rsidP="00A04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оте</w:t>
            </w:r>
            <w:r w:rsidR="00A129BE">
              <w:rPr>
                <w:rFonts w:ascii="Times New Roman" w:eastAsia="Calibri" w:hAnsi="Times New Roman" w:cs="Times New Roman"/>
                <w:sz w:val="24"/>
                <w:szCs w:val="24"/>
              </w:rPr>
              <w:t>ля «Султан» по ул. Кольцова, 34а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E754B" w:rsidRPr="00F1785E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A04DC9" w:rsidP="00A12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Calibri" w:hAnsi="Times New Roman" w:cs="Times New Roman"/>
                <w:sz w:val="24"/>
                <w:szCs w:val="24"/>
              </w:rPr>
              <w:t>Строит</w:t>
            </w:r>
            <w:r w:rsidR="00A129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ельство гостиницы «Нарзан Вест» по </w:t>
            </w:r>
            <w:r w:rsidRPr="00A04DC9">
              <w:rPr>
                <w:rFonts w:ascii="Times New Roman" w:eastAsia="Calibri" w:hAnsi="Times New Roman" w:cs="Times New Roman"/>
                <w:sz w:val="24"/>
                <w:szCs w:val="24"/>
              </w:rPr>
              <w:t>ул. Профинтерна, 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54B" w:rsidRPr="003158D0" w:rsidTr="00A04DC9">
        <w:trPr>
          <w:trHeight w:val="2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A04DC9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54B" w:rsidRPr="003158D0" w:rsidRDefault="00A04DC9" w:rsidP="00E8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hAnsi="Times New Roman" w:cs="Times New Roman"/>
                <w:sz w:val="24"/>
                <w:szCs w:val="24"/>
              </w:rPr>
              <w:t>Строительство гостевого дома по ул. 8 Марта,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754B" w:rsidRPr="003158D0" w:rsidTr="007B4E12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A04DC9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54B" w:rsidRPr="003158D0" w:rsidRDefault="00A04DC9" w:rsidP="00E84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гостевого дома по ул. </w:t>
            </w:r>
            <w:proofErr w:type="spellStart"/>
            <w:r w:rsidRPr="00A04DC9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A04DC9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3158D0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754B" w:rsidRPr="00F1785E" w:rsidTr="007B4E12">
        <w:trPr>
          <w:trHeight w:val="70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2" w:rsidRDefault="00D43252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E754B" w:rsidRPr="00311AD8" w:rsidRDefault="00A04DC9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Торговля, </w:t>
            </w:r>
            <w:r w:rsidR="003E754B"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сервис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общественное питание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A04DC9" w:rsidP="00A0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магазина с рестораном по адресу: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Кисловодск, ул. Кирова/Шаляпина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2115D7" w:rsidRDefault="00A04DC9" w:rsidP="00A12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A129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A04DC9" w:rsidRDefault="00A04DC9" w:rsidP="00A0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магазина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«Строитель» по ул. 8 Марта,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A04DC9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54B" w:rsidRPr="00F1785E" w:rsidTr="00311AD8">
        <w:trPr>
          <w:trHeight w:val="2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A04DC9" w:rsidRDefault="00A04DC9" w:rsidP="00A0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торгово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центра по ул. Свердлова, 16Б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A04DC9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A04DC9" w:rsidRDefault="00A04DC9" w:rsidP="00A04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торгово-делового центра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Свердлова,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A04DC9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A04DC9" w:rsidP="00842F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магазина «Продукты» по ул. Гайдара,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2115D7" w:rsidRDefault="00A04DC9" w:rsidP="00E84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754B" w:rsidRPr="00F1785E" w:rsidTr="007B4E12">
        <w:trPr>
          <w:trHeight w:val="54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2" w:rsidRDefault="00D43252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Многоквартирные жилые дома (МКД)</w:t>
            </w:r>
          </w:p>
        </w:tc>
      </w:tr>
      <w:tr w:rsidR="003E754B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A04DC9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54B" w:rsidRPr="00F1785E" w:rsidRDefault="00A04DC9" w:rsidP="00E8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многоквартирного жилого дома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04DC9">
              <w:rPr>
                <w:rFonts w:ascii="Times New Roman" w:eastAsia="Times New Roman" w:hAnsi="Times New Roman" w:cs="Times New Roman"/>
                <w:sz w:val="24"/>
                <w:szCs w:val="24"/>
              </w:rPr>
              <w:t>ул. Щербакова, 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B" w:rsidRPr="00F1785E" w:rsidRDefault="003E754B" w:rsidP="00E8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51F" w:rsidRPr="00F1785E" w:rsidTr="00D43252">
        <w:trPr>
          <w:trHeight w:val="54"/>
        </w:trPr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2" w:rsidRDefault="00D43252" w:rsidP="00CC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C351F" w:rsidRPr="00F1785E" w:rsidRDefault="00CC351F" w:rsidP="00CC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CC351F" w:rsidRPr="00F1785E" w:rsidTr="007B4E12">
        <w:trPr>
          <w:trHeight w:val="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F" w:rsidRDefault="00CC351F" w:rsidP="00CC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51F" w:rsidRPr="00A04DC9" w:rsidRDefault="00CC351F" w:rsidP="00CC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Мемориальный</w:t>
            </w:r>
            <w:r w:rsidRPr="00CC35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«Воинская слава» и воинские захоронения по пр. </w:t>
            </w:r>
            <w:proofErr w:type="spellStart"/>
            <w:r w:rsidRPr="00CC351F">
              <w:rPr>
                <w:rFonts w:ascii="Times New Roman" w:eastAsia="Times New Roman" w:hAnsi="Times New Roman" w:cs="Times New Roman"/>
                <w:sz w:val="24"/>
                <w:szCs w:val="24"/>
              </w:rPr>
              <w:t>Цандера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F" w:rsidRPr="00F1785E" w:rsidRDefault="00CC351F" w:rsidP="00CC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F" w:rsidRPr="00F1785E" w:rsidRDefault="00CC351F" w:rsidP="00CC35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351F" w:rsidRPr="005068BC" w:rsidTr="007B4E12">
        <w:trPr>
          <w:trHeight w:val="54"/>
        </w:trPr>
        <w:tc>
          <w:tcPr>
            <w:tcW w:w="7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252" w:rsidRDefault="00D43252" w:rsidP="00CC3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51F" w:rsidRPr="009557AB" w:rsidRDefault="00CC351F" w:rsidP="00CC3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557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F" w:rsidRPr="00A5050E" w:rsidRDefault="00CC351F" w:rsidP="00CC3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1F" w:rsidRPr="00A5050E" w:rsidRDefault="00A129BE" w:rsidP="00CC3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</w:tbl>
    <w:p w:rsidR="00842F7D" w:rsidRDefault="00842F7D" w:rsidP="00075B8B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D110E1" w:rsidRDefault="00F81C4B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3. </w:t>
      </w:r>
      <w:r w:rsidR="00DA680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Реализуемые (переходящие) проекты </w:t>
      </w:r>
      <w:r w:rsidR="00DA6800" w:rsidRPr="00E4403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по состоянию на 01.04.2021 года.</w:t>
      </w:r>
    </w:p>
    <w:p w:rsidR="00DA6800" w:rsidRDefault="00DA6800" w:rsidP="00DA6800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DA6800" w:rsidRDefault="00DA6800" w:rsidP="00DA6800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3.1. </w:t>
      </w:r>
      <w:r w:rsidRPr="00E4403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Проекты, реализуемые за счет внебюджетных (час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тных) источников финансирования.</w:t>
      </w:r>
    </w:p>
    <w:p w:rsidR="00E84707" w:rsidRDefault="00D110E1" w:rsidP="00E84707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 настоящее время на территории города-к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урорта Кисловодска реализуется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  <w:t>2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7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инвестиционных проектов </w:t>
      </w:r>
      <w:r w:rsidR="009129B7" w:rsidRP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за счет внебюджетных (частных) источников финансирования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общей стоимостью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</w:t>
      </w:r>
      <w:r w:rsidR="00E67CC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,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5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млрд. руб., п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о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итогам реализации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lastRenderedPageBreak/>
        <w:t>которых</w:t>
      </w:r>
      <w:r w:rsidR="00E67CC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планируется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созда</w:t>
      </w:r>
      <w:r w:rsidR="00E67CC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ть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до 2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363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коечных мест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а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="00842F7D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к 2024 году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 а также до 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2584 рабочих мест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к 2024 году.</w:t>
      </w:r>
    </w:p>
    <w:p w:rsidR="00E550B2" w:rsidRDefault="00E550B2" w:rsidP="007A3BDF">
      <w:pPr>
        <w:spacing w:after="0" w:line="240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842F7D" w:rsidRDefault="00842F7D" w:rsidP="00C37825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A129BE" w:rsidRDefault="00A129BE" w:rsidP="00C37825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A129BE" w:rsidRDefault="00A129BE" w:rsidP="00C37825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C37825" w:rsidRPr="00C37825" w:rsidRDefault="00D110E1" w:rsidP="00C37825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</w:t>
      </w:r>
      <w:r w:rsidR="00847606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</w:t>
      </w:r>
      <w:r w:rsidR="00E84707" w:rsidRPr="00E8470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D110E1" w:rsidRPr="00A02CCD" w:rsidRDefault="00A02CCD" w:rsidP="00C37825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A02CCD">
        <w:rPr>
          <w:rFonts w:ascii="Times New Roman" w:eastAsia="Calibri" w:hAnsi="Times New Roman" w:cs="Times New Roman"/>
          <w:color w:val="000000"/>
          <w:sz w:val="28"/>
          <w:szCs w:val="28"/>
        </w:rPr>
        <w:t>Проекты, реализуемые за счет внебюджетных (частных) источников финансирования по состоянию на 01.0</w:t>
      </w:r>
      <w:r w:rsidR="00E4403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02CCD">
        <w:rPr>
          <w:rFonts w:ascii="Times New Roman" w:eastAsia="Calibri" w:hAnsi="Times New Roman" w:cs="Times New Roman"/>
          <w:color w:val="000000"/>
          <w:sz w:val="28"/>
          <w:szCs w:val="28"/>
        </w:rPr>
        <w:t>.2021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43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1134"/>
        <w:gridCol w:w="1276"/>
        <w:gridCol w:w="1275"/>
        <w:gridCol w:w="1560"/>
      </w:tblGrid>
      <w:tr w:rsidR="00E03D5D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Общая стоимость  проекта на весь срок реализации, млн.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  <w:tc>
          <w:tcPr>
            <w:tcW w:w="1560" w:type="dxa"/>
            <w:vAlign w:val="center"/>
          </w:tcPr>
          <w:p w:rsidR="00E03D5D" w:rsidRPr="00F1785E" w:rsidRDefault="0083217E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DE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разрешения на строит</w:t>
            </w:r>
            <w:r w:rsidR="001928D8" w:rsidRPr="00DE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е</w:t>
            </w:r>
            <w:r w:rsidRPr="00DE0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льство</w:t>
            </w:r>
          </w:p>
        </w:tc>
      </w:tr>
      <w:tr w:rsidR="00E03D5D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  <w:tc>
          <w:tcPr>
            <w:tcW w:w="1560" w:type="dxa"/>
            <w:vAlign w:val="center"/>
          </w:tcPr>
          <w:p w:rsidR="00E03D5D" w:rsidRPr="00F1785E" w:rsidRDefault="00E03D5D" w:rsidP="00A129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7</w:t>
            </w:r>
          </w:p>
        </w:tc>
      </w:tr>
      <w:tr w:rsidR="00E03D5D" w:rsidRPr="00F1785E" w:rsidTr="00A129BE">
        <w:trPr>
          <w:trHeight w:val="70"/>
        </w:trPr>
        <w:tc>
          <w:tcPr>
            <w:tcW w:w="10173" w:type="dxa"/>
            <w:gridSpan w:val="7"/>
            <w:shd w:val="clear" w:color="auto" w:fill="auto"/>
            <w:vAlign w:val="center"/>
          </w:tcPr>
          <w:p w:rsidR="00E03D5D" w:rsidRDefault="00E03D5D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Санаторно-курортная и гостиничная сферы</w:t>
            </w:r>
          </w:p>
        </w:tc>
      </w:tr>
      <w:tr w:rsidR="00A129BE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A129BE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129BE" w:rsidRPr="00C25331" w:rsidRDefault="00A129B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санатория по ул. Ходжаева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9BE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29BE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9BE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29BE" w:rsidRPr="00761AD3" w:rsidRDefault="00A129B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60" w:type="dxa"/>
            <w:vAlign w:val="center"/>
          </w:tcPr>
          <w:p w:rsidR="00A129BE" w:rsidRPr="00137A5F" w:rsidRDefault="00A129B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процессе оформления</w:t>
            </w:r>
          </w:p>
        </w:tc>
      </w:tr>
      <w:tr w:rsidR="00E03D5D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«Питергоф»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2652,3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3D5D" w:rsidRPr="00F1785E" w:rsidRDefault="00E03D5D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560" w:type="dxa"/>
            <w:vAlign w:val="center"/>
          </w:tcPr>
          <w:p w:rsidR="00E03D5D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Истек 09.10.2018 г.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Пансионат по пр. Ленина,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P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Клиника им. Святителя Луки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2014-2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P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«Стеклянная Струя»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137A5F" w:rsidRDefault="00280D41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Истек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280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Реставрация и реконструкция объекта «Санаторий «Кисловодск», 1934 г., (литер А)» по ул. Коминтерна, 15/ул. Володарского,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2020-2023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административно-лечебного корпуса по пер. Бородинскому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Санаторий «</w:t>
            </w:r>
            <w:proofErr w:type="spellStart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Русель</w:t>
            </w:r>
            <w:proofErr w:type="spellEnd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с рестораном по пр. Победы, 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и реконструкция бывшего корпуса санатория им. Кирова по пр. Ленина, 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Строительство гостиницы на 12 номеров по ул. </w:t>
            </w:r>
            <w:proofErr w:type="spellStart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Римгорская</w:t>
            </w:r>
            <w:proofErr w:type="spellEnd"/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23а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>
              <w:rPr>
                <w:rFonts w:ascii="Times New Roman" w:eastAsia="Times New Roman" w:hAnsi="Times New Roman" w:cs="David"/>
                <w:sz w:val="24"/>
                <w:szCs w:val="24"/>
              </w:rPr>
              <w:t>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Санаторий «Версаль» по пр. Дзержинского/ул. 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Володарского, 1/5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670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10173" w:type="dxa"/>
            <w:gridSpan w:val="7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Торговля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  <w:r w:rsidR="00A129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торгово-развлекательного центра в г. Кисловодске на ул. Горького/Кутузова, 35/2а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2015-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Катыхина, 147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Чапаева 15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магазина по ул. Главная, 71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Реконструкция нежилого здания под торгово-офисный центр с пристройкой нежилых помещений по ул. Горького, 29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29"/>
        </w:trPr>
        <w:tc>
          <w:tcPr>
            <w:tcW w:w="534" w:type="dxa"/>
            <w:vAlign w:val="center"/>
          </w:tcPr>
          <w:p w:rsidR="00137A5F" w:rsidRPr="00F1785E" w:rsidRDefault="00A129BE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Строительство торгового дома по ул. </w:t>
            </w:r>
            <w:proofErr w:type="spellStart"/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>Умара</w:t>
            </w:r>
            <w:proofErr w:type="spellEnd"/>
            <w:r w:rsidRPr="00F1785E">
              <w:rPr>
                <w:rFonts w:ascii="Times New Roman" w:eastAsia="Times New Roman" w:hAnsi="Times New Roman" w:cs="David"/>
                <w:sz w:val="24"/>
                <w:szCs w:val="24"/>
              </w:rPr>
              <w:t xml:space="preserve"> Алиева, 71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10173" w:type="dxa"/>
            <w:gridSpan w:val="7"/>
            <w:vAlign w:val="center"/>
          </w:tcPr>
          <w:p w:rsidR="00A5050E" w:rsidRDefault="00A5050E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(многоквартирные жилые дома)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Замковая, 41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Войкова (1-3я очереди)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2017-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пр. Победы, 151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91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40 лет Октября, 37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2020-2024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Пушкина, 95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  <w:r w:rsidR="0091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40 Лет Октября/Куйбышева, 1-1а/7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1890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2016-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8 Марта, 37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300,3</w:t>
            </w:r>
          </w:p>
        </w:tc>
        <w:tc>
          <w:tcPr>
            <w:tcW w:w="1275" w:type="dxa"/>
            <w:vAlign w:val="center"/>
          </w:tcPr>
          <w:p w:rsidR="00137A5F" w:rsidRPr="00D32C52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2010-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D32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ул. Жмакина, 6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5" w:type="dxa"/>
            <w:vAlign w:val="center"/>
          </w:tcPr>
          <w:p w:rsidR="00137A5F" w:rsidRPr="00D32C52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D32C5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2021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70"/>
        </w:trPr>
        <w:tc>
          <w:tcPr>
            <w:tcW w:w="10173" w:type="dxa"/>
            <w:gridSpan w:val="7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нежилых зданий (прочие сферы)</w:t>
            </w:r>
          </w:p>
        </w:tc>
      </w:tr>
      <w:tr w:rsidR="00137A5F" w:rsidRPr="00F1785E" w:rsidTr="00A129BE">
        <w:trPr>
          <w:trHeight w:val="70"/>
        </w:trPr>
        <w:tc>
          <w:tcPr>
            <w:tcW w:w="534" w:type="dxa"/>
            <w:vAlign w:val="center"/>
          </w:tcPr>
          <w:p w:rsidR="00137A5F" w:rsidRPr="00F1785E" w:rsidRDefault="009129B7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здания управленческой деятельности по ул. Островского, 7б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134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5" w:type="dxa"/>
            <w:vAlign w:val="center"/>
          </w:tcPr>
          <w:p w:rsidR="00137A5F" w:rsidRPr="00F1785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</w:t>
            </w:r>
            <w:r w:rsidRPr="00F17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vAlign w:val="center"/>
          </w:tcPr>
          <w:p w:rsidR="00137A5F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2022 г.</w:t>
            </w:r>
          </w:p>
          <w:p w:rsidR="00137A5F" w:rsidRPr="00137A5F" w:rsidRDefault="00137A5F" w:rsidP="00A129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7A5F" w:rsidRPr="00F1785E" w:rsidTr="00A129BE">
        <w:trPr>
          <w:trHeight w:val="13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37A5F" w:rsidRPr="00DE01FB" w:rsidRDefault="00AE4898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A5050E" w:rsidRDefault="009129B7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A5F" w:rsidRPr="00A5050E" w:rsidRDefault="009129B7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2584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7A5F" w:rsidRPr="00A5050E" w:rsidRDefault="009129B7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22461,6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A5F" w:rsidRPr="00A5050E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37A5F" w:rsidRPr="00DE01FB" w:rsidRDefault="00137A5F" w:rsidP="00A12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217E" w:rsidRDefault="0083217E" w:rsidP="0083217E">
      <w:pPr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404B2" w:rsidRDefault="008404B2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404B2" w:rsidRDefault="008404B2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404B2" w:rsidRDefault="008404B2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404B2" w:rsidRDefault="008404B2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404B2" w:rsidRDefault="008404B2" w:rsidP="00E4403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8404B2" w:rsidRPr="00DA6800" w:rsidRDefault="00DA6800" w:rsidP="00DA6800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3.2</w:t>
      </w:r>
      <w:r w:rsidR="00E4403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. </w:t>
      </w:r>
      <w:r w:rsidR="00E44030" w:rsidRPr="00E4403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Проекты, реализуемые за счет бюджетных 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источников финансирования.</w:t>
      </w:r>
    </w:p>
    <w:p w:rsidR="008404B2" w:rsidRDefault="008404B2" w:rsidP="008404B2">
      <w:pPr>
        <w:spacing w:after="0" w:line="276" w:lineRule="auto"/>
        <w:ind w:firstLine="426"/>
        <w:jc w:val="both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В настоящее время на территории города-к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урорта Кисловодска реализуется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br/>
      </w:r>
      <w:r w:rsidR="00DA680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16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инвестиционных проектов </w:t>
      </w:r>
      <w:r w:rsidRPr="009129B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за счет бюджетных источников финансирования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общей стоимостью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</w:t>
      </w:r>
      <w:r w:rsidR="00DA680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1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,</w:t>
      </w:r>
      <w:r w:rsidR="00DA680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0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8 млрд. руб., п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о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итогам реализации которых планируется 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созда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ть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до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296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коечных мест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к 2024 году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, а также до </w:t>
      </w:r>
      <w:r w:rsidR="00DA680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80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6 рабочих мест</w:t>
      </w:r>
      <w:r w:rsidRPr="00730215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к 2024 году.</w:t>
      </w:r>
    </w:p>
    <w:p w:rsidR="008404B2" w:rsidRDefault="008404B2" w:rsidP="00D43252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8404B2" w:rsidRDefault="008404B2" w:rsidP="00D43252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8404B2" w:rsidRPr="00C37825" w:rsidRDefault="008404B2" w:rsidP="00D43252">
      <w:pPr>
        <w:spacing w:after="0" w:line="240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Таблица 3</w:t>
      </w:r>
      <w:r w:rsidRPr="00E84707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 </w:t>
      </w:r>
    </w:p>
    <w:p w:rsidR="008404B2" w:rsidRPr="00A02CCD" w:rsidRDefault="008404B2" w:rsidP="008404B2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ru-RU"/>
        </w:rPr>
      </w:pPr>
      <w:r w:rsidRPr="00A02C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Проекты, реализуемые за счет бюджетных источников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A02CCD">
        <w:rPr>
          <w:rFonts w:ascii="Times New Roman" w:eastAsia="Calibri" w:hAnsi="Times New Roman" w:cs="Times New Roman"/>
          <w:color w:val="000000"/>
          <w:sz w:val="28"/>
          <w:szCs w:val="28"/>
        </w:rPr>
        <w:t>финансирования по состоянию на 01.0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A02CCD">
        <w:rPr>
          <w:rFonts w:ascii="Times New Roman" w:eastAsia="Calibri" w:hAnsi="Times New Roman" w:cs="Times New Roman"/>
          <w:color w:val="000000"/>
          <w:sz w:val="28"/>
          <w:szCs w:val="28"/>
        </w:rPr>
        <w:t>.2021 года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43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81"/>
        <w:gridCol w:w="1134"/>
        <w:gridCol w:w="1276"/>
        <w:gridCol w:w="1559"/>
        <w:gridCol w:w="1276"/>
      </w:tblGrid>
      <w:tr w:rsidR="008404B2" w:rsidRPr="00F1785E" w:rsidTr="00D4325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№</w:t>
            </w:r>
          </w:p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п/п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Наименование проекта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Коечные места (план), ед.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Рабочие места (план), 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Общая </w:t>
            </w:r>
            <w:proofErr w:type="gramStart"/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стоимость  проекта</w:t>
            </w:r>
            <w:proofErr w:type="gramEnd"/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 xml:space="preserve"> на весь срок реализации, млн. руб.</w:t>
            </w:r>
          </w:p>
        </w:tc>
        <w:tc>
          <w:tcPr>
            <w:tcW w:w="1276" w:type="dxa"/>
            <w:shd w:val="clear" w:color="auto" w:fill="auto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he-IL"/>
              </w:rPr>
              <w:t>Срок реализации проекта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404B2" w:rsidRPr="00F1785E" w:rsidRDefault="008404B2" w:rsidP="00D432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</w:pPr>
            <w:r w:rsidRPr="00F17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he-IL"/>
              </w:rPr>
              <w:t>6</w:t>
            </w:r>
          </w:p>
        </w:tc>
      </w:tr>
      <w:tr w:rsidR="008404B2" w:rsidRPr="00F1785E" w:rsidTr="00D43252">
        <w:trPr>
          <w:trHeight w:val="70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8404B2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785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Санаторно-курортная и гостиничная сферы</w:t>
            </w:r>
          </w:p>
          <w:p w:rsidR="008404B2" w:rsidRPr="00F1785E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спального корпуса санатория «Эльбрус» МВД России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301,63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 по сохранению объекта культурного наследия федерального значения «Санаторий им. Орджоникидзе»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00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2020-2025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Реконструкция корпусов (литеры "А1", "В1") санатория «Красные Камни»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2170,16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2017-2022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Реконструкция хозяйственного корпуса (Литер "Д"), котельной санатория (Лит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"Е2"), дачи №2 (Литер "Б3")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1999,73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5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Надстройка 3-го этажа нового корпуса (Литер "Б1") санатория «Красные Камни»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000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1107,6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000C2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0C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8404B2" w:rsidRPr="00F1785E" w:rsidTr="00D43252">
        <w:trPr>
          <w:trHeight w:val="70"/>
        </w:trPr>
        <w:tc>
          <w:tcPr>
            <w:tcW w:w="10060" w:type="dxa"/>
            <w:gridSpan w:val="6"/>
            <w:vAlign w:val="center"/>
          </w:tcPr>
          <w:p w:rsidR="008404B2" w:rsidRPr="00F1785E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vAlign w:val="center"/>
          </w:tcPr>
          <w:p w:rsidR="008404B2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8404B2" w:rsidRPr="00F1785E" w:rsidRDefault="008404B2" w:rsidP="00D432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Реконструкция и модернизация ГБУЗ СК «Кисловодская городская больница», (1-й этап)</w:t>
            </w:r>
          </w:p>
        </w:tc>
        <w:tc>
          <w:tcPr>
            <w:tcW w:w="1134" w:type="dxa"/>
            <w:vAlign w:val="center"/>
          </w:tcPr>
          <w:p w:rsidR="008404B2" w:rsidRPr="00F1785E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24</w:t>
            </w:r>
          </w:p>
        </w:tc>
        <w:tc>
          <w:tcPr>
            <w:tcW w:w="1276" w:type="dxa"/>
            <w:vAlign w:val="center"/>
          </w:tcPr>
          <w:p w:rsidR="008404B2" w:rsidRPr="00F1785E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8404B2" w:rsidRPr="00F1785E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1216,7</w:t>
            </w:r>
          </w:p>
        </w:tc>
        <w:tc>
          <w:tcPr>
            <w:tcW w:w="1276" w:type="dxa"/>
          </w:tcPr>
          <w:p w:rsidR="008404B2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6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2020-2021</w:t>
            </w:r>
          </w:p>
        </w:tc>
      </w:tr>
      <w:tr w:rsidR="008404B2" w:rsidRPr="00F1785E" w:rsidTr="00D43252">
        <w:trPr>
          <w:trHeight w:val="70"/>
        </w:trPr>
        <w:tc>
          <w:tcPr>
            <w:tcW w:w="10060" w:type="dxa"/>
            <w:gridSpan w:val="6"/>
            <w:vAlign w:val="center"/>
          </w:tcPr>
          <w:p w:rsidR="008404B2" w:rsidRPr="001A0548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vAlign w:val="center"/>
          </w:tcPr>
          <w:p w:rsidR="008404B2" w:rsidRPr="00F36FD8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lastRenderedPageBreak/>
              <w:t>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F36FD8" w:rsidRDefault="008404B2" w:rsidP="00D4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Реконструкции и восстановление здания СОШ № 1 по ул. Богдана Хмельницкого, 7</w:t>
            </w:r>
          </w:p>
        </w:tc>
        <w:tc>
          <w:tcPr>
            <w:tcW w:w="1134" w:type="dxa"/>
            <w:vAlign w:val="center"/>
          </w:tcPr>
          <w:p w:rsidR="008404B2" w:rsidRPr="004050A4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vAlign w:val="center"/>
          </w:tcPr>
          <w:p w:rsidR="008404B2" w:rsidRPr="00F36FD8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8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F36FD8" w:rsidRDefault="008404B2" w:rsidP="00D4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отдельно стоящего корпуса на 40 мест для МБДОУ ДС №8 по ул. </w:t>
            </w:r>
            <w:proofErr w:type="spellStart"/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Велинградская</w:t>
            </w:r>
            <w:proofErr w:type="spellEnd"/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134" w:type="dxa"/>
            <w:vAlign w:val="center"/>
          </w:tcPr>
          <w:p w:rsidR="008404B2" w:rsidRPr="004050A4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85,55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vAlign w:val="center"/>
          </w:tcPr>
          <w:p w:rsidR="008404B2" w:rsidRPr="00F36FD8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9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F36FD8" w:rsidRDefault="008404B2" w:rsidP="00D4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Строительство СОШ на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</w:tc>
        <w:tc>
          <w:tcPr>
            <w:tcW w:w="1134" w:type="dxa"/>
            <w:vAlign w:val="center"/>
          </w:tcPr>
          <w:p w:rsidR="008404B2" w:rsidRPr="004050A4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1063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vAlign w:val="center"/>
          </w:tcPr>
          <w:p w:rsidR="008404B2" w:rsidRPr="00F36FD8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10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F36FD8" w:rsidRDefault="008404B2" w:rsidP="00D4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FD8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детского сада-яслей на 280 мест</w:t>
            </w:r>
          </w:p>
        </w:tc>
        <w:tc>
          <w:tcPr>
            <w:tcW w:w="1134" w:type="dxa"/>
            <w:vAlign w:val="center"/>
          </w:tcPr>
          <w:p w:rsidR="008404B2" w:rsidRPr="004050A4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405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265,1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4050A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0A4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DA6800" w:rsidRPr="00F1785E" w:rsidTr="00D43252">
        <w:trPr>
          <w:trHeight w:val="70"/>
        </w:trPr>
        <w:tc>
          <w:tcPr>
            <w:tcW w:w="534" w:type="dxa"/>
            <w:vAlign w:val="center"/>
          </w:tcPr>
          <w:p w:rsidR="00DA6800" w:rsidRDefault="00DA6800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11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00" w:rsidRPr="00F36FD8" w:rsidRDefault="00DA6800" w:rsidP="00D4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хореографической школы по ул. Горького, 27а</w:t>
            </w:r>
          </w:p>
        </w:tc>
        <w:tc>
          <w:tcPr>
            <w:tcW w:w="1134" w:type="dxa"/>
            <w:vAlign w:val="center"/>
          </w:tcPr>
          <w:p w:rsidR="00DA6800" w:rsidRPr="004050A4" w:rsidRDefault="00DA6800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00" w:rsidRPr="004050A4" w:rsidRDefault="00DA6800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00" w:rsidRPr="004050A4" w:rsidRDefault="00DA6800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800" w:rsidRPr="004050A4" w:rsidRDefault="00DA6800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8404B2" w:rsidRPr="00F1785E" w:rsidTr="00D43252">
        <w:trPr>
          <w:trHeight w:val="70"/>
        </w:trPr>
        <w:tc>
          <w:tcPr>
            <w:tcW w:w="10060" w:type="dxa"/>
            <w:gridSpan w:val="6"/>
            <w:vAlign w:val="center"/>
          </w:tcPr>
          <w:p w:rsidR="008404B2" w:rsidRPr="001A0548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054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404B2" w:rsidRDefault="008404B2" w:rsidP="0084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  <w:r w:rsidR="00DA6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344C14" w:rsidRDefault="008404B2" w:rsidP="00D4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Реконстр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укция объектов спортивной базы </w:t>
            </w: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6-й этап. (Нижняя база ООО «ЮГ Спорт»).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04B2" w:rsidRPr="00344C14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4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344C1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344C1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1 593,4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344C14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B2" w:rsidRDefault="00DA6800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13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44C14" w:rsidRDefault="008404B2" w:rsidP="00D43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плавательного бассейна ФГБУ ПОО "Кисловодское государственное училище (техникум) олимпийского резерва" по пр. Победы, 14-16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B2" w:rsidRPr="00344C14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344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44C14" w:rsidRDefault="008404B2" w:rsidP="00D4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44C14" w:rsidRDefault="008404B2" w:rsidP="00D4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613,17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344C14" w:rsidRDefault="008404B2" w:rsidP="00D43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C14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</w:tr>
      <w:tr w:rsidR="008404B2" w:rsidRPr="00F1785E" w:rsidTr="00D43252">
        <w:trPr>
          <w:trHeight w:val="70"/>
        </w:trPr>
        <w:tc>
          <w:tcPr>
            <w:tcW w:w="10060" w:type="dxa"/>
            <w:gridSpan w:val="6"/>
            <w:tcBorders>
              <w:top w:val="single" w:sz="4" w:space="0" w:color="auto"/>
            </w:tcBorders>
            <w:vAlign w:val="center"/>
          </w:tcPr>
          <w:p w:rsidR="008404B2" w:rsidRPr="00C44545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vAlign w:val="center"/>
          </w:tcPr>
          <w:p w:rsidR="008404B2" w:rsidRDefault="00DA6800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C44545" w:rsidRDefault="008404B2" w:rsidP="00D4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гидротехнических сооружений на реке </w:t>
            </w:r>
            <w:proofErr w:type="spellStart"/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Аликоновка</w:t>
            </w:r>
            <w:proofErr w:type="spellEnd"/>
            <w:r w:rsidRPr="00C44545">
              <w:rPr>
                <w:rFonts w:ascii="Times New Roman" w:hAnsi="Times New Roman" w:cs="Times New Roman"/>
                <w:sz w:val="24"/>
                <w:szCs w:val="24"/>
              </w:rPr>
              <w:t xml:space="preserve"> (Старое озеро) в городе-курорте Кисловодске</w:t>
            </w:r>
          </w:p>
        </w:tc>
        <w:tc>
          <w:tcPr>
            <w:tcW w:w="1134" w:type="dxa"/>
          </w:tcPr>
          <w:p w:rsidR="008404B2" w:rsidRPr="00C44545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8404B2" w:rsidRPr="00C44545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C44545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426,8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C44545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vAlign w:val="center"/>
          </w:tcPr>
          <w:p w:rsidR="008404B2" w:rsidRDefault="00DA6800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15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C44545" w:rsidRDefault="008404B2" w:rsidP="00D4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объекта культурного наследия "Мемориальный комплекс "Журавли", расположенный по адресу: г. Кисловодск, ул. Кольцова" (Прилегающая территория)</w:t>
            </w:r>
          </w:p>
        </w:tc>
        <w:tc>
          <w:tcPr>
            <w:tcW w:w="1134" w:type="dxa"/>
          </w:tcPr>
          <w:p w:rsidR="008404B2" w:rsidRPr="00C44545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8404B2" w:rsidRPr="00C44545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C44545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104,71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C44545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404B2" w:rsidRPr="00F1785E" w:rsidTr="00D43252">
        <w:trPr>
          <w:trHeight w:val="70"/>
        </w:trPr>
        <w:tc>
          <w:tcPr>
            <w:tcW w:w="534" w:type="dxa"/>
            <w:vAlign w:val="center"/>
          </w:tcPr>
          <w:p w:rsidR="008404B2" w:rsidRDefault="008404B2" w:rsidP="00DA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1</w:t>
            </w:r>
            <w:r w:rsidR="00DA6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6</w:t>
            </w:r>
          </w:p>
        </w:tc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4B2" w:rsidRPr="00C44545" w:rsidRDefault="008404B2" w:rsidP="00D432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Выполнение работ реконструкции проспекта Ленина в городе-курорте Кисловодске</w:t>
            </w:r>
          </w:p>
        </w:tc>
        <w:tc>
          <w:tcPr>
            <w:tcW w:w="1134" w:type="dxa"/>
          </w:tcPr>
          <w:p w:rsidR="008404B2" w:rsidRPr="00C44545" w:rsidRDefault="008404B2" w:rsidP="00D4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</w:pPr>
            <w:r w:rsidRPr="00C4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e-IL"/>
              </w:rPr>
              <w:t>0</w:t>
            </w:r>
          </w:p>
        </w:tc>
        <w:tc>
          <w:tcPr>
            <w:tcW w:w="1276" w:type="dxa"/>
          </w:tcPr>
          <w:p w:rsidR="008404B2" w:rsidRPr="00C44545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4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C44545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857,67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4B2" w:rsidRPr="00C44545" w:rsidRDefault="008404B2" w:rsidP="00D432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45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8404B2" w:rsidRPr="00F1785E" w:rsidTr="00D43252">
        <w:trPr>
          <w:trHeight w:val="132"/>
        </w:trPr>
        <w:tc>
          <w:tcPr>
            <w:tcW w:w="4815" w:type="dxa"/>
            <w:gridSpan w:val="2"/>
            <w:shd w:val="clear" w:color="auto" w:fill="auto"/>
            <w:vAlign w:val="center"/>
          </w:tcPr>
          <w:p w:rsidR="008404B2" w:rsidRPr="009557AB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04B2" w:rsidRPr="00A5050E" w:rsidRDefault="008404B2" w:rsidP="00D432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5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2" w:rsidRPr="00A5050E" w:rsidRDefault="00DA6800" w:rsidP="00D432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80</w:t>
            </w:r>
            <w:r w:rsidR="008404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04B2" w:rsidRPr="00A5050E" w:rsidRDefault="008404B2" w:rsidP="00DA680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505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DA68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DA68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A5050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DA68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404B2" w:rsidRPr="00A5050E" w:rsidRDefault="008404B2" w:rsidP="00D432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EE62E0" w:rsidRDefault="00EE62E0" w:rsidP="00EE62E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E62E0" w:rsidRDefault="00EE62E0" w:rsidP="00EE62E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p w:rsidR="00EE62E0" w:rsidRDefault="00DA6800" w:rsidP="00EE62E0">
      <w:pPr>
        <w:spacing w:after="0" w:line="276" w:lineRule="auto"/>
        <w:jc w:val="center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4</w:t>
      </w:r>
      <w:r w:rsidR="00EE62E0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. 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Планируемые к реализации проекты в 2021-202</w:t>
      </w:r>
      <w:r w:rsidR="007042D5"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>2</w:t>
      </w:r>
      <w:r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  <w:t xml:space="preserve"> годах.</w:t>
      </w:r>
    </w:p>
    <w:p w:rsidR="00DA6800" w:rsidRDefault="00DA6800" w:rsidP="00CE4355">
      <w:pPr>
        <w:spacing w:after="0" w:line="276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DA6800" w:rsidRDefault="00DA6800" w:rsidP="00DA68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DA6800" w:rsidRPr="0083217E" w:rsidRDefault="00DA6800" w:rsidP="00DA6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17E">
        <w:rPr>
          <w:rFonts w:ascii="Times New Roman" w:hAnsi="Times New Roman" w:cs="Times New Roman"/>
          <w:sz w:val="28"/>
          <w:szCs w:val="28"/>
        </w:rPr>
        <w:t xml:space="preserve">Планируемые к реализации инвестиционные проекты </w:t>
      </w:r>
      <w:r w:rsidRPr="0083217E">
        <w:rPr>
          <w:rFonts w:ascii="Times New Roman" w:hAnsi="Times New Roman" w:cs="Times New Roman"/>
          <w:sz w:val="28"/>
          <w:szCs w:val="28"/>
        </w:rPr>
        <w:br/>
      </w:r>
      <w:r w:rsidRPr="007A0821">
        <w:rPr>
          <w:rFonts w:ascii="Times New Roman" w:hAnsi="Times New Roman" w:cs="Times New Roman"/>
          <w:b/>
          <w:sz w:val="28"/>
          <w:szCs w:val="28"/>
        </w:rPr>
        <w:t>(внебюджетные инвестиции)</w:t>
      </w:r>
    </w:p>
    <w:tbl>
      <w:tblPr>
        <w:tblStyle w:val="21"/>
        <w:tblpPr w:leftFromText="180" w:rightFromText="180" w:vertAnchor="text" w:horzAnchor="margin" w:tblpXSpec="center" w:tblpY="286"/>
        <w:tblW w:w="10414" w:type="dxa"/>
        <w:tblLayout w:type="fixed"/>
        <w:tblLook w:val="04A0" w:firstRow="1" w:lastRow="0" w:firstColumn="1" w:lastColumn="0" w:noHBand="0" w:noVBand="1"/>
      </w:tblPr>
      <w:tblGrid>
        <w:gridCol w:w="534"/>
        <w:gridCol w:w="6228"/>
        <w:gridCol w:w="1417"/>
        <w:gridCol w:w="2235"/>
      </w:tblGrid>
      <w:tr w:rsidR="00DA6800" w:rsidRPr="00855C8F" w:rsidTr="00D43252">
        <w:tc>
          <w:tcPr>
            <w:tcW w:w="534" w:type="dxa"/>
            <w:vAlign w:val="center"/>
          </w:tcPr>
          <w:p w:rsidR="00DA6800" w:rsidRPr="00855C8F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228" w:type="dxa"/>
            <w:vAlign w:val="center"/>
          </w:tcPr>
          <w:p w:rsidR="00DA6800" w:rsidRPr="0083217E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DA6800" w:rsidRPr="0083217E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проекта, </w:t>
            </w:r>
            <w:r w:rsidRPr="00832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млн. руб. (план)</w:t>
            </w:r>
          </w:p>
        </w:tc>
        <w:tc>
          <w:tcPr>
            <w:tcW w:w="2235" w:type="dxa"/>
            <w:vAlign w:val="center"/>
          </w:tcPr>
          <w:p w:rsidR="00DA6800" w:rsidRPr="0083217E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1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Мощность проекта</w:t>
            </w:r>
          </w:p>
        </w:tc>
      </w:tr>
      <w:tr w:rsidR="00DA6800" w:rsidRPr="00855C8F" w:rsidTr="00D43252">
        <w:tc>
          <w:tcPr>
            <w:tcW w:w="534" w:type="dxa"/>
            <w:vAlign w:val="center"/>
          </w:tcPr>
          <w:p w:rsidR="00DA6800" w:rsidRPr="00855C8F" w:rsidRDefault="00DA6800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228" w:type="dxa"/>
            <w:vAlign w:val="center"/>
          </w:tcPr>
          <w:p w:rsidR="00DA6800" w:rsidRPr="00855C8F" w:rsidRDefault="00DA6800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A6800" w:rsidRPr="00855C8F" w:rsidRDefault="00DA6800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35" w:type="dxa"/>
            <w:vAlign w:val="center"/>
          </w:tcPr>
          <w:p w:rsidR="00DA6800" w:rsidRPr="00855C8F" w:rsidRDefault="00DA6800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55C8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A6800" w:rsidRPr="00423C67" w:rsidTr="00D43252">
        <w:tc>
          <w:tcPr>
            <w:tcW w:w="10414" w:type="dxa"/>
            <w:gridSpan w:val="4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Санаторно-к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урортные учреждения и гостиницы</w:t>
            </w:r>
          </w:p>
        </w:tc>
      </w:tr>
      <w:tr w:rsidR="00DA6800" w:rsidRPr="00423C67" w:rsidTr="00D43252">
        <w:tc>
          <w:tcPr>
            <w:tcW w:w="534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8" w:type="dxa"/>
            <w:vAlign w:val="center"/>
          </w:tcPr>
          <w:p w:rsidR="00DA6800" w:rsidRPr="00423C67" w:rsidRDefault="00DA6800" w:rsidP="00D432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«Дружба Ростов» по пр. Дзержинского, 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David"/>
                <w:sz w:val="24"/>
                <w:szCs w:val="24"/>
              </w:rPr>
              <w:t>180</w:t>
            </w:r>
          </w:p>
        </w:tc>
        <w:tc>
          <w:tcPr>
            <w:tcW w:w="2235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(план)- 133 ед.</w:t>
            </w:r>
          </w:p>
        </w:tc>
      </w:tr>
      <w:tr w:rsidR="00DA6800" w:rsidRPr="00423C67" w:rsidTr="00D43252">
        <w:tc>
          <w:tcPr>
            <w:tcW w:w="534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vAlign w:val="center"/>
          </w:tcPr>
          <w:p w:rsidR="00DA6800" w:rsidRPr="00423C67" w:rsidRDefault="00DA6800" w:rsidP="00D4325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Строительство гостиницы по пр. Первомайскому, 12 (здание «Дом связи»)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David"/>
                <w:sz w:val="24"/>
                <w:szCs w:val="24"/>
              </w:rPr>
              <w:t>800</w:t>
            </w:r>
          </w:p>
        </w:tc>
        <w:tc>
          <w:tcPr>
            <w:tcW w:w="2235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(план)- 200 ед.</w:t>
            </w:r>
          </w:p>
        </w:tc>
      </w:tr>
      <w:tr w:rsidR="00DA6800" w:rsidRPr="00423C67" w:rsidTr="00D43252">
        <w:tc>
          <w:tcPr>
            <w:tcW w:w="534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8" w:type="dxa"/>
            <w:vAlign w:val="center"/>
          </w:tcPr>
          <w:p w:rsidR="00DA6800" w:rsidRPr="00423C67" w:rsidRDefault="00DA6800" w:rsidP="00D43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новых и реконструкция существующих объектов спортивно-оздоровительного комплекса </w:t>
            </w: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Запикетный</w:t>
            </w:r>
            <w:proofErr w:type="spellEnd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ул. </w:t>
            </w:r>
            <w:proofErr w:type="spellStart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Прудная</w:t>
            </w:r>
            <w:proofErr w:type="spellEnd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, 105а)</w:t>
            </w:r>
          </w:p>
        </w:tc>
        <w:tc>
          <w:tcPr>
            <w:tcW w:w="1417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235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Коечная вместимость</w:t>
            </w:r>
          </w:p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(план)- 220 ед.</w:t>
            </w:r>
          </w:p>
        </w:tc>
      </w:tr>
      <w:tr w:rsidR="00DA6800" w:rsidRPr="00423C67" w:rsidTr="00D43252">
        <w:tc>
          <w:tcPr>
            <w:tcW w:w="534" w:type="dxa"/>
            <w:vAlign w:val="center"/>
          </w:tcPr>
          <w:p w:rsidR="00DA6800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8" w:type="dxa"/>
            <w:vAlign w:val="center"/>
          </w:tcPr>
          <w:p w:rsidR="00DA6800" w:rsidRPr="00423C67" w:rsidRDefault="00DA6800" w:rsidP="00D43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санаторно-курортного и гостиничного комплексов в рамках планируемой к созданию особой экономической зоны туристско-рекреационного типа «Солнечная Долина»</w:t>
            </w:r>
          </w:p>
        </w:tc>
        <w:tc>
          <w:tcPr>
            <w:tcW w:w="1417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55000,0</w:t>
            </w:r>
          </w:p>
        </w:tc>
        <w:tc>
          <w:tcPr>
            <w:tcW w:w="2235" w:type="dxa"/>
            <w:vAlign w:val="center"/>
          </w:tcPr>
          <w:p w:rsidR="00DA6800" w:rsidRPr="001F78DF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DF">
              <w:rPr>
                <w:rFonts w:ascii="Times New Roman" w:eastAsia="Times New Roman" w:hAnsi="Times New Roman" w:cs="Times New Roman"/>
                <w:sz w:val="24"/>
                <w:szCs w:val="24"/>
              </w:rPr>
              <w:t>Коечная вместимость</w:t>
            </w:r>
          </w:p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(план)-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11 тыс.</w:t>
            </w:r>
            <w:r w:rsidRPr="001F7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DA6800" w:rsidRPr="00423C67" w:rsidTr="00D43252">
        <w:tc>
          <w:tcPr>
            <w:tcW w:w="10414" w:type="dxa"/>
            <w:gridSpan w:val="4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Строительс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тво многоквартирных жилых домов</w:t>
            </w:r>
          </w:p>
        </w:tc>
      </w:tr>
      <w:tr w:rsidR="00DA6800" w:rsidRPr="00423C67" w:rsidTr="00D43252">
        <w:tc>
          <w:tcPr>
            <w:tcW w:w="534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8" w:type="dxa"/>
            <w:vAlign w:val="center"/>
          </w:tcPr>
          <w:p w:rsidR="00DA6800" w:rsidRPr="00423C67" w:rsidRDefault="00DA6800" w:rsidP="00D432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многоквартирного жилого дома по ул. 8 Марта, 25</w:t>
            </w:r>
          </w:p>
        </w:tc>
        <w:tc>
          <w:tcPr>
            <w:tcW w:w="1417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35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площадью 5000 </w:t>
            </w:r>
            <w:proofErr w:type="spellStart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., 5 этажей</w:t>
            </w:r>
          </w:p>
        </w:tc>
      </w:tr>
      <w:tr w:rsidR="00DA6800" w:rsidRPr="00423C67" w:rsidTr="00D43252">
        <w:tc>
          <w:tcPr>
            <w:tcW w:w="10414" w:type="dxa"/>
            <w:gridSpan w:val="4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Торговля</w:t>
            </w:r>
          </w:p>
        </w:tc>
      </w:tr>
      <w:tr w:rsidR="00DA6800" w:rsidRPr="00423C67" w:rsidTr="00D43252">
        <w:tc>
          <w:tcPr>
            <w:tcW w:w="534" w:type="dxa"/>
          </w:tcPr>
          <w:p w:rsidR="00DA6800" w:rsidRPr="00423C67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8" w:type="dxa"/>
          </w:tcPr>
          <w:p w:rsidR="00DA6800" w:rsidRPr="00423C67" w:rsidRDefault="00DA6800" w:rsidP="00D432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нежилых зданий с пристройкой под торгово-развлекательный центр в г. Кисловодске, ул. Фоменко, 25</w:t>
            </w:r>
          </w:p>
        </w:tc>
        <w:tc>
          <w:tcPr>
            <w:tcW w:w="1417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35" w:type="dxa"/>
            <w:vAlign w:val="center"/>
          </w:tcPr>
          <w:p w:rsidR="00DA6800" w:rsidRPr="00423C67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существующего здания под торгово-развлекательный центр общей площадью более 20000 </w:t>
            </w:r>
            <w:proofErr w:type="spellStart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3C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6800" w:rsidRPr="00423C67" w:rsidTr="00D43252">
        <w:tc>
          <w:tcPr>
            <w:tcW w:w="6762" w:type="dxa"/>
            <w:gridSpan w:val="2"/>
            <w:shd w:val="clear" w:color="auto" w:fill="auto"/>
            <w:vAlign w:val="center"/>
          </w:tcPr>
          <w:p w:rsidR="00DA6800" w:rsidRPr="00A5050E" w:rsidRDefault="00DA6800" w:rsidP="00D43252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A5050E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A6800" w:rsidRPr="001D65AA" w:rsidRDefault="00DA6800" w:rsidP="00D43252">
            <w:pPr>
              <w:jc w:val="center"/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57</w:t>
            </w:r>
            <w:r w:rsidRPr="00A5050E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400</w:t>
            </w:r>
            <w:r w:rsidR="001D65AA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A6800" w:rsidRPr="00A5050E" w:rsidRDefault="00DA6800" w:rsidP="00D43252">
            <w:pPr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A5050E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DA6800" w:rsidRDefault="00DA6800" w:rsidP="00DA6800">
      <w:pPr>
        <w:spacing w:after="0" w:line="276" w:lineRule="auto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</w:p>
    <w:p w:rsidR="00CE4355" w:rsidRDefault="00CE4355" w:rsidP="00CE4355">
      <w:pPr>
        <w:spacing w:after="0" w:line="276" w:lineRule="auto"/>
        <w:jc w:val="right"/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 xml:space="preserve">Таблица </w:t>
      </w:r>
      <w:r w:rsidR="00DA6800">
        <w:rPr>
          <w:rFonts w:ascii="Times New Roman" w:eastAsia="Calibri" w:hAnsi="Times New Roman" w:cs="Arial"/>
          <w:color w:val="000000"/>
          <w:sz w:val="28"/>
          <w:szCs w:val="24"/>
          <w:lang w:eastAsia="ru-RU"/>
        </w:rPr>
        <w:t>5</w:t>
      </w:r>
    </w:p>
    <w:p w:rsidR="00DA6800" w:rsidRPr="0083217E" w:rsidRDefault="00DA6800" w:rsidP="00DA6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17E">
        <w:rPr>
          <w:rFonts w:ascii="Times New Roman" w:hAnsi="Times New Roman" w:cs="Times New Roman"/>
          <w:sz w:val="28"/>
          <w:szCs w:val="28"/>
        </w:rPr>
        <w:t xml:space="preserve">Планируемые к реализации инвестиционные проекты </w:t>
      </w:r>
      <w:r w:rsidRPr="0083217E">
        <w:rPr>
          <w:rFonts w:ascii="Times New Roman" w:hAnsi="Times New Roman" w:cs="Times New Roman"/>
          <w:sz w:val="28"/>
          <w:szCs w:val="28"/>
        </w:rPr>
        <w:br/>
      </w:r>
      <w:r w:rsidRPr="007A0821">
        <w:rPr>
          <w:rFonts w:ascii="Times New Roman" w:hAnsi="Times New Roman" w:cs="Times New Roman"/>
          <w:b/>
          <w:sz w:val="28"/>
          <w:szCs w:val="28"/>
        </w:rPr>
        <w:t>(бюджетные инвестиции)</w:t>
      </w:r>
    </w:p>
    <w:tbl>
      <w:tblPr>
        <w:tblStyle w:val="212"/>
        <w:tblpPr w:leftFromText="180" w:rightFromText="180" w:vertAnchor="text" w:horzAnchor="margin" w:tblpXSpec="center" w:tblpY="286"/>
        <w:tblW w:w="10915" w:type="dxa"/>
        <w:tblLayout w:type="fixed"/>
        <w:tblLook w:val="04A0" w:firstRow="1" w:lastRow="0" w:firstColumn="1" w:lastColumn="0" w:noHBand="0" w:noVBand="1"/>
      </w:tblPr>
      <w:tblGrid>
        <w:gridCol w:w="562"/>
        <w:gridCol w:w="6526"/>
        <w:gridCol w:w="1417"/>
        <w:gridCol w:w="2410"/>
      </w:tblGrid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Стоимость проекта, млн. руб. (план)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sz w:val="20"/>
                <w:szCs w:val="20"/>
              </w:rPr>
              <w:t>Мощность проекта</w:t>
            </w: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8632C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E4355" w:rsidRPr="008632CF" w:rsidTr="00D43252">
        <w:tc>
          <w:tcPr>
            <w:tcW w:w="10915" w:type="dxa"/>
            <w:gridSpan w:val="4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DA68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анаторно-курортные учреждения, оздоровительные лагеря</w:t>
            </w:r>
          </w:p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спального корпуса санатория Федеральной таможенной службы России «Электроника», ул. Желябова, 14а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мощность- 51 коечное место</w:t>
            </w: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реабилитационно-восстановительного кардиологического центра на базе объекта незавершенного строительства «Корпус клиники им. Ленина», расположенного по ул. Ярошенко, 5.</w:t>
            </w:r>
          </w:p>
        </w:tc>
        <w:tc>
          <w:tcPr>
            <w:tcW w:w="1417" w:type="dxa"/>
            <w:vAlign w:val="center"/>
          </w:tcPr>
          <w:p w:rsidR="00CE4355" w:rsidRPr="008632CF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  <w:r w:rsidR="00CE4355"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(план)- </w:t>
            </w:r>
            <w:r w:rsidR="00DA680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</w:t>
            </w:r>
            <w:r w:rsidRPr="008632CF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</w:tr>
      <w:tr w:rsidR="00DA6800" w:rsidRPr="008632CF" w:rsidTr="00D43252">
        <w:tc>
          <w:tcPr>
            <w:tcW w:w="562" w:type="dxa"/>
            <w:vAlign w:val="center"/>
          </w:tcPr>
          <w:p w:rsidR="00DA6800" w:rsidRDefault="00DA6800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6" w:type="dxa"/>
            <w:vAlign w:val="center"/>
          </w:tcPr>
          <w:p w:rsidR="00DA6800" w:rsidRPr="008632CF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Реконструкция студенческого лагеря «Горное эхо» под спортивный клуб для </w:t>
            </w:r>
            <w:proofErr w:type="gramStart"/>
            <w:r w:rsidRPr="00DA68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 и</w:t>
            </w:r>
            <w:proofErr w:type="gramEnd"/>
            <w:r w:rsidRPr="00DA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формирования </w:t>
            </w:r>
            <w:r w:rsidRPr="00DA68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студенческих спортивных лиг России</w:t>
            </w:r>
          </w:p>
        </w:tc>
        <w:tc>
          <w:tcPr>
            <w:tcW w:w="1417" w:type="dxa"/>
            <w:vAlign w:val="center"/>
          </w:tcPr>
          <w:p w:rsidR="00DA6800" w:rsidRPr="008632CF" w:rsidRDefault="00DA6800" w:rsidP="00D432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2410" w:type="dxa"/>
            <w:vAlign w:val="center"/>
          </w:tcPr>
          <w:p w:rsidR="00DA6800" w:rsidRPr="00DA6800" w:rsidRDefault="00DA6800" w:rsidP="00D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Коечная вместимость </w:t>
            </w:r>
          </w:p>
          <w:p w:rsidR="00DA6800" w:rsidRPr="008632CF" w:rsidRDefault="00DA6800" w:rsidP="00DA68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(план)- от 1</w:t>
            </w:r>
            <w:r w:rsidRPr="00DA6800">
              <w:rPr>
                <w:rFonts w:ascii="Times New Roman" w:eastAsia="Times New Roman" w:hAnsi="Times New Roman" w:cs="Times New Roman"/>
                <w:sz w:val="24"/>
                <w:szCs w:val="24"/>
              </w:rPr>
              <w:t>00 ед.</w:t>
            </w:r>
          </w:p>
        </w:tc>
      </w:tr>
      <w:tr w:rsidR="00CE4355" w:rsidRPr="008632CF" w:rsidTr="00D43252">
        <w:tc>
          <w:tcPr>
            <w:tcW w:w="10915" w:type="dxa"/>
            <w:gridSpan w:val="4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спортивного зала в МКОУ СОШ № 7</w:t>
            </w:r>
          </w:p>
        </w:tc>
        <w:tc>
          <w:tcPr>
            <w:tcW w:w="1417" w:type="dxa"/>
            <w:vAlign w:val="center"/>
          </w:tcPr>
          <w:p w:rsidR="00CE4355" w:rsidRPr="008632CF" w:rsidRDefault="007042D5" w:rsidP="00704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="00CE4355"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Общая площадь здания- 747,23 </w:t>
            </w:r>
            <w:proofErr w:type="spellStart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плавательного бассейна на территории 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МБОУ «Гимназия № 19»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704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Пропускная способность- 48 чел. в смену</w:t>
            </w:r>
          </w:p>
        </w:tc>
      </w:tr>
      <w:tr w:rsidR="00CE4355" w:rsidRPr="008632CF" w:rsidTr="007042D5">
        <w:trPr>
          <w:trHeight w:val="1968"/>
        </w:trPr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специализированного открытого поля для хоккея и легкоатлетического сектора для длинных метаний на траве на спортивном комплексе в районе поймы реки </w:t>
            </w:r>
            <w:proofErr w:type="spellStart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Подкумок</w:t>
            </w:r>
            <w:proofErr w:type="spellEnd"/>
          </w:p>
        </w:tc>
        <w:tc>
          <w:tcPr>
            <w:tcW w:w="1417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195,2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земельного участка в границах благоустройства - 1,0616 га;</w:t>
            </w:r>
          </w:p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площадь поля для игры в хоккей - 5941,4 м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дворца спорта «Арена Кисловодск» (1 этап)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850,5</w:t>
            </w:r>
          </w:p>
        </w:tc>
        <w:tc>
          <w:tcPr>
            <w:tcW w:w="2410" w:type="dxa"/>
            <w:vAlign w:val="center"/>
          </w:tcPr>
          <w:p w:rsidR="00CE4355" w:rsidRPr="00D12C6E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этап 2020-2021 годы - строительство плавательного бассейна 51мх25м и плавательного бассейна 10мх6м.</w:t>
            </w:r>
          </w:p>
        </w:tc>
      </w:tr>
      <w:tr w:rsidR="00CE4355" w:rsidRPr="008632CF" w:rsidTr="00D43252">
        <w:tc>
          <w:tcPr>
            <w:tcW w:w="10915" w:type="dxa"/>
            <w:gridSpan w:val="4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Культура и развлечения</w:t>
            </w:r>
          </w:p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многофункционального культурного центра «Россия»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3600</w:t>
            </w:r>
            <w:r w:rsidR="007A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 мест</w:t>
            </w:r>
          </w:p>
        </w:tc>
      </w:tr>
      <w:tr w:rsidR="00CE4355" w:rsidRPr="008632CF" w:rsidTr="00D43252">
        <w:tc>
          <w:tcPr>
            <w:tcW w:w="10915" w:type="dxa"/>
            <w:gridSpan w:val="4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Проекты в области жилищно-коммунального хозяйства, транспортной инфраструктуры, благоустройства территории</w:t>
            </w:r>
          </w:p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объездной дороги «Западный обход»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7042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04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7A0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7A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</w:t>
            </w: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путепроводной развязки на 63-ем километре железной дороги Минеральные Воды -Кисловодск </w:t>
            </w:r>
            <w:proofErr w:type="gramStart"/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Северо-Кавказской</w:t>
            </w:r>
            <w:proofErr w:type="gramEnd"/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железной дороги г. Кисловодск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822,32</w:t>
            </w:r>
          </w:p>
        </w:tc>
        <w:tc>
          <w:tcPr>
            <w:tcW w:w="2410" w:type="dxa"/>
            <w:vAlign w:val="center"/>
          </w:tcPr>
          <w:p w:rsidR="00CE4355" w:rsidRPr="008632CF" w:rsidRDefault="007A0821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  <w:r w:rsidR="00CE4355"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км.</w:t>
            </w: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объектов инженерной инфраструктуры и автомобильной дороги к территории, на которое планируется создание особой экономической зоны «Солнечная Долина»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7A08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042D5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  <w:r w:rsidR="007A08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7A08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электроснабжение 8,5 </w:t>
            </w:r>
            <w:proofErr w:type="gramStart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км.,</w:t>
            </w:r>
            <w:proofErr w:type="gramEnd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газоснабжение </w:t>
            </w:r>
          </w:p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 км</w:t>
            </w:r>
            <w:proofErr w:type="gramEnd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сети связи </w:t>
            </w:r>
          </w:p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gramStart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км.,</w:t>
            </w:r>
            <w:proofErr w:type="gramEnd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водоотведение </w:t>
            </w:r>
          </w:p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км, </w:t>
            </w:r>
          </w:p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водоснабжение 14 км, </w:t>
            </w:r>
            <w:proofErr w:type="spellStart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минералопровод</w:t>
            </w:r>
            <w:proofErr w:type="spellEnd"/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8,4 км, автодорога- </w:t>
            </w:r>
            <w:r w:rsidRPr="008632CF">
              <w:t xml:space="preserve"> </w:t>
            </w: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 км.</w:t>
            </w: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Реконструкция городского парка культуры и отдыха «Парк имени Ленинского </w:t>
            </w:r>
            <w:proofErr w:type="gramStart"/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комсомола»/</w:t>
            </w:r>
            <w:proofErr w:type="gramEnd"/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Озерная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34,84 га</w:t>
            </w: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проспекта Победы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7A082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A082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4,078 км.</w:t>
            </w:r>
          </w:p>
        </w:tc>
      </w:tr>
      <w:tr w:rsidR="00CE4355" w:rsidRPr="008632CF" w:rsidTr="00D43252">
        <w:tc>
          <w:tcPr>
            <w:tcW w:w="562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6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канализационного коллектора по проспекту Победы</w:t>
            </w:r>
          </w:p>
        </w:tc>
        <w:tc>
          <w:tcPr>
            <w:tcW w:w="1417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32CF">
              <w:rPr>
                <w:rFonts w:ascii="Times New Roman" w:hAnsi="Times New Roman" w:cs="Times New Roman"/>
                <w:bCs/>
                <w:sz w:val="24"/>
                <w:szCs w:val="24"/>
              </w:rPr>
              <w:t>2200,0</w:t>
            </w:r>
          </w:p>
        </w:tc>
        <w:tc>
          <w:tcPr>
            <w:tcW w:w="2410" w:type="dxa"/>
            <w:vAlign w:val="center"/>
          </w:tcPr>
          <w:p w:rsidR="00CE4355" w:rsidRPr="008632CF" w:rsidRDefault="00CE4355" w:rsidP="00D43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9,2 км. </w:t>
            </w:r>
          </w:p>
        </w:tc>
      </w:tr>
      <w:tr w:rsidR="00CE4355" w:rsidRPr="008632CF" w:rsidTr="00D43252">
        <w:tc>
          <w:tcPr>
            <w:tcW w:w="7088" w:type="dxa"/>
            <w:gridSpan w:val="2"/>
            <w:shd w:val="clear" w:color="auto" w:fill="auto"/>
            <w:vAlign w:val="center"/>
          </w:tcPr>
          <w:p w:rsidR="00CE4355" w:rsidRPr="00A5050E" w:rsidRDefault="00CE4355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CE4355" w:rsidRPr="00A5050E" w:rsidRDefault="00CE4355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A50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4355" w:rsidRPr="00A5050E" w:rsidRDefault="00CE4355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</w:p>
          <w:p w:rsidR="00CE4355" w:rsidRPr="00A5050E" w:rsidRDefault="007A0821" w:rsidP="00D432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</w:pPr>
            <w:r w:rsidRPr="007A08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he-IL"/>
              </w:rPr>
              <w:t>15569,92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4355" w:rsidRPr="00A5050E" w:rsidRDefault="00CE4355" w:rsidP="00D4325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5050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CE4355" w:rsidRPr="000F10F9" w:rsidRDefault="00CE4355" w:rsidP="00CE4355">
      <w:pPr>
        <w:rPr>
          <w:rFonts w:ascii="Times New Roman" w:hAnsi="Times New Roman" w:cs="Times New Roman"/>
          <w:sz w:val="28"/>
          <w:szCs w:val="28"/>
        </w:rPr>
      </w:pPr>
    </w:p>
    <w:p w:rsidR="00DE01FB" w:rsidRDefault="00DE01FB" w:rsidP="00DE01FB">
      <w:pPr>
        <w:spacing w:after="0" w:line="276" w:lineRule="auto"/>
        <w:jc w:val="both"/>
        <w:rPr>
          <w:rFonts w:ascii="Times New Roman" w:eastAsia="Calibri" w:hAnsi="Times New Roman" w:cs="Arial"/>
          <w:b/>
          <w:color w:val="000000"/>
          <w:sz w:val="28"/>
          <w:szCs w:val="24"/>
          <w:lang w:eastAsia="ru-RU"/>
        </w:rPr>
      </w:pPr>
    </w:p>
    <w:sectPr w:rsidR="00DE01FB" w:rsidSect="00F129F2">
      <w:pgSz w:w="11906" w:h="16838"/>
      <w:pgMar w:top="993" w:right="850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72E"/>
    <w:multiLevelType w:val="hybridMultilevel"/>
    <w:tmpl w:val="A0AC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83C10"/>
    <w:multiLevelType w:val="hybridMultilevel"/>
    <w:tmpl w:val="0404450E"/>
    <w:lvl w:ilvl="0" w:tplc="DCBCC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98765A"/>
    <w:multiLevelType w:val="hybridMultilevel"/>
    <w:tmpl w:val="0B6CAFB8"/>
    <w:lvl w:ilvl="0" w:tplc="68785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760977"/>
    <w:multiLevelType w:val="hybridMultilevel"/>
    <w:tmpl w:val="AE72E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C097E"/>
    <w:multiLevelType w:val="multilevel"/>
    <w:tmpl w:val="98A6A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FB"/>
    <w:rsid w:val="00013EFB"/>
    <w:rsid w:val="0001423B"/>
    <w:rsid w:val="000475B6"/>
    <w:rsid w:val="00054DC1"/>
    <w:rsid w:val="00075B8B"/>
    <w:rsid w:val="000B2E5F"/>
    <w:rsid w:val="000D3F75"/>
    <w:rsid w:val="000F10F9"/>
    <w:rsid w:val="00113D92"/>
    <w:rsid w:val="001264FF"/>
    <w:rsid w:val="00135478"/>
    <w:rsid w:val="00137A5F"/>
    <w:rsid w:val="001657ED"/>
    <w:rsid w:val="001928D8"/>
    <w:rsid w:val="001A0548"/>
    <w:rsid w:val="001A070A"/>
    <w:rsid w:val="001B4B7F"/>
    <w:rsid w:val="001D65AA"/>
    <w:rsid w:val="001E2589"/>
    <w:rsid w:val="001F78DF"/>
    <w:rsid w:val="002115D7"/>
    <w:rsid w:val="00227489"/>
    <w:rsid w:val="00227B1E"/>
    <w:rsid w:val="00227B86"/>
    <w:rsid w:val="00232E03"/>
    <w:rsid w:val="002551D5"/>
    <w:rsid w:val="002806E7"/>
    <w:rsid w:val="00280D41"/>
    <w:rsid w:val="002842A0"/>
    <w:rsid w:val="002D78D8"/>
    <w:rsid w:val="002F41F8"/>
    <w:rsid w:val="003000C2"/>
    <w:rsid w:val="003002BC"/>
    <w:rsid w:val="00311AD8"/>
    <w:rsid w:val="003158D0"/>
    <w:rsid w:val="00344C14"/>
    <w:rsid w:val="00372370"/>
    <w:rsid w:val="003967BB"/>
    <w:rsid w:val="003B5E32"/>
    <w:rsid w:val="003D4F92"/>
    <w:rsid w:val="003E754B"/>
    <w:rsid w:val="003F1E8F"/>
    <w:rsid w:val="003F6C6A"/>
    <w:rsid w:val="004050A4"/>
    <w:rsid w:val="00410EC7"/>
    <w:rsid w:val="00423C67"/>
    <w:rsid w:val="004504B2"/>
    <w:rsid w:val="00452CCB"/>
    <w:rsid w:val="004846A5"/>
    <w:rsid w:val="00493A5C"/>
    <w:rsid w:val="004C04EC"/>
    <w:rsid w:val="004C0D3B"/>
    <w:rsid w:val="004D4153"/>
    <w:rsid w:val="004D5C0D"/>
    <w:rsid w:val="004D772B"/>
    <w:rsid w:val="004F5084"/>
    <w:rsid w:val="005014E6"/>
    <w:rsid w:val="005029DC"/>
    <w:rsid w:val="005068BC"/>
    <w:rsid w:val="0056628B"/>
    <w:rsid w:val="00567ED1"/>
    <w:rsid w:val="005836FD"/>
    <w:rsid w:val="00587CE3"/>
    <w:rsid w:val="005B2726"/>
    <w:rsid w:val="005B63B3"/>
    <w:rsid w:val="005D4B0A"/>
    <w:rsid w:val="00602FB7"/>
    <w:rsid w:val="0060770D"/>
    <w:rsid w:val="0064036C"/>
    <w:rsid w:val="006630AE"/>
    <w:rsid w:val="006940AF"/>
    <w:rsid w:val="006A2E65"/>
    <w:rsid w:val="006A3289"/>
    <w:rsid w:val="006B4343"/>
    <w:rsid w:val="007042D5"/>
    <w:rsid w:val="00714BBB"/>
    <w:rsid w:val="00730215"/>
    <w:rsid w:val="0073483D"/>
    <w:rsid w:val="00761AD3"/>
    <w:rsid w:val="00792E4D"/>
    <w:rsid w:val="007A0821"/>
    <w:rsid w:val="007A3BDF"/>
    <w:rsid w:val="007B4E12"/>
    <w:rsid w:val="007C4DA1"/>
    <w:rsid w:val="00802C9F"/>
    <w:rsid w:val="008163FB"/>
    <w:rsid w:val="0083217E"/>
    <w:rsid w:val="008404B2"/>
    <w:rsid w:val="00842F7D"/>
    <w:rsid w:val="00847606"/>
    <w:rsid w:val="00855C8F"/>
    <w:rsid w:val="00896B33"/>
    <w:rsid w:val="0090679B"/>
    <w:rsid w:val="009129B7"/>
    <w:rsid w:val="0095118A"/>
    <w:rsid w:val="009557AB"/>
    <w:rsid w:val="0095794C"/>
    <w:rsid w:val="00987895"/>
    <w:rsid w:val="00992553"/>
    <w:rsid w:val="009A6333"/>
    <w:rsid w:val="009B0063"/>
    <w:rsid w:val="009E15B6"/>
    <w:rsid w:val="009E5ACC"/>
    <w:rsid w:val="00A02CCD"/>
    <w:rsid w:val="00A04DC9"/>
    <w:rsid w:val="00A129BE"/>
    <w:rsid w:val="00A14E59"/>
    <w:rsid w:val="00A23011"/>
    <w:rsid w:val="00A33BAB"/>
    <w:rsid w:val="00A406E2"/>
    <w:rsid w:val="00A5050E"/>
    <w:rsid w:val="00A81973"/>
    <w:rsid w:val="00A83511"/>
    <w:rsid w:val="00AE4898"/>
    <w:rsid w:val="00B55E96"/>
    <w:rsid w:val="00B80B07"/>
    <w:rsid w:val="00B82F36"/>
    <w:rsid w:val="00B84216"/>
    <w:rsid w:val="00BC21DA"/>
    <w:rsid w:val="00BF596F"/>
    <w:rsid w:val="00C37825"/>
    <w:rsid w:val="00C44545"/>
    <w:rsid w:val="00C56A6F"/>
    <w:rsid w:val="00C608FD"/>
    <w:rsid w:val="00C6674B"/>
    <w:rsid w:val="00C721AF"/>
    <w:rsid w:val="00C762C0"/>
    <w:rsid w:val="00C9286E"/>
    <w:rsid w:val="00CB10DA"/>
    <w:rsid w:val="00CC21C1"/>
    <w:rsid w:val="00CC2A33"/>
    <w:rsid w:val="00CC351F"/>
    <w:rsid w:val="00CE4355"/>
    <w:rsid w:val="00D110E1"/>
    <w:rsid w:val="00D12C6E"/>
    <w:rsid w:val="00D2351C"/>
    <w:rsid w:val="00D32C52"/>
    <w:rsid w:val="00D42707"/>
    <w:rsid w:val="00D43252"/>
    <w:rsid w:val="00D66EC4"/>
    <w:rsid w:val="00D80273"/>
    <w:rsid w:val="00D97377"/>
    <w:rsid w:val="00DA2C3A"/>
    <w:rsid w:val="00DA46FE"/>
    <w:rsid w:val="00DA6800"/>
    <w:rsid w:val="00DA7312"/>
    <w:rsid w:val="00DA7443"/>
    <w:rsid w:val="00DC01A4"/>
    <w:rsid w:val="00DC59A8"/>
    <w:rsid w:val="00DC783A"/>
    <w:rsid w:val="00DD3DCC"/>
    <w:rsid w:val="00DE01FB"/>
    <w:rsid w:val="00DF1D58"/>
    <w:rsid w:val="00E03D5D"/>
    <w:rsid w:val="00E05AD9"/>
    <w:rsid w:val="00E21233"/>
    <w:rsid w:val="00E21B2A"/>
    <w:rsid w:val="00E24084"/>
    <w:rsid w:val="00E26FF1"/>
    <w:rsid w:val="00E44030"/>
    <w:rsid w:val="00E44919"/>
    <w:rsid w:val="00E550B2"/>
    <w:rsid w:val="00E652E5"/>
    <w:rsid w:val="00E67CC6"/>
    <w:rsid w:val="00E84707"/>
    <w:rsid w:val="00EA3EE0"/>
    <w:rsid w:val="00EB53A4"/>
    <w:rsid w:val="00EB7FFD"/>
    <w:rsid w:val="00ED03E3"/>
    <w:rsid w:val="00EE62E0"/>
    <w:rsid w:val="00EF0032"/>
    <w:rsid w:val="00EF30D8"/>
    <w:rsid w:val="00F129F2"/>
    <w:rsid w:val="00F1517E"/>
    <w:rsid w:val="00F1785E"/>
    <w:rsid w:val="00F36FD8"/>
    <w:rsid w:val="00F81C4B"/>
    <w:rsid w:val="00FA2F9A"/>
    <w:rsid w:val="00FA35CB"/>
    <w:rsid w:val="00FB3BEE"/>
    <w:rsid w:val="00FD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B990-A772-45A9-B342-70D06391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6A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2553"/>
    <w:pPr>
      <w:ind w:left="720"/>
      <w:contextualSpacing/>
    </w:pPr>
  </w:style>
  <w:style w:type="table" w:customStyle="1" w:styleId="2">
    <w:name w:val="Сетка таблицы2"/>
    <w:basedOn w:val="a1"/>
    <w:next w:val="a6"/>
    <w:uiPriority w:val="59"/>
    <w:rsid w:val="000D3F7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0D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F129F2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129F2"/>
    <w:rPr>
      <w:rFonts w:eastAsiaTheme="minorEastAsia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85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semiHidden/>
    <w:unhideWhenUsed/>
    <w:qFormat/>
    <w:rsid w:val="00E67CC6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customStyle="1" w:styleId="212">
    <w:name w:val="Сетка таблицы212"/>
    <w:basedOn w:val="a1"/>
    <w:next w:val="a6"/>
    <w:uiPriority w:val="59"/>
    <w:rsid w:val="00B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69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E21B2A"/>
    <w:pPr>
      <w:spacing w:after="0" w:line="240" w:lineRule="auto"/>
    </w:pPr>
    <w:rPr>
      <w:color w:val="3D8DA8"/>
    </w:rPr>
    <w:tblPr>
      <w:tblStyleRowBandSize w:val="1"/>
      <w:tblStyleColBandSize w:val="1"/>
      <w:tblBorders>
        <w:top w:val="single" w:sz="8" w:space="0" w:color="6BB1C9"/>
        <w:bottom w:val="single" w:sz="8" w:space="0" w:color="6BB1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1C9"/>
          <w:left w:val="nil"/>
          <w:bottom w:val="single" w:sz="8" w:space="0" w:color="6BB1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BF1"/>
      </w:tcPr>
    </w:tblStylePr>
  </w:style>
  <w:style w:type="table" w:styleId="-3">
    <w:name w:val="Light Shading Accent 3"/>
    <w:basedOn w:val="a1"/>
    <w:uiPriority w:val="60"/>
    <w:semiHidden/>
    <w:unhideWhenUsed/>
    <w:rsid w:val="00E21B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инвестиции</c:v>
                </c:pt>
              </c:strCache>
            </c:strRef>
          </c:tx>
          <c:spPr>
            <a:ln>
              <a:solidFill>
                <a:srgbClr val="FF0000">
                  <a:alpha val="69804"/>
                </a:srgbClr>
              </a:solidFill>
            </a:ln>
          </c:spPr>
          <c:marker>
            <c:symbol val="none"/>
          </c:marker>
          <c:dLbls>
            <c:dLbl>
              <c:idx val="1"/>
              <c:layout>
                <c:manualLayout>
                  <c:x val="-2.3136989181990232E-2"/>
                  <c:y val="-4.08361320426344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680751173709058E-2"/>
                  <c:y val="-5.99520221262664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8779342723004694E-3"/>
                  <c:y val="2.6069483250077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кв. 2017 г.</c:v>
                </c:pt>
                <c:pt idx="1">
                  <c:v>1 кв. 2018 г.</c:v>
                </c:pt>
                <c:pt idx="2">
                  <c:v>1 кв. 2019 г.</c:v>
                </c:pt>
                <c:pt idx="3">
                  <c:v>1 кв. 2020 г.</c:v>
                </c:pt>
                <c:pt idx="4">
                  <c:v>1 кв. 2021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427.1</c:v>
                </c:pt>
                <c:pt idx="1">
                  <c:v>601.5</c:v>
                </c:pt>
                <c:pt idx="2">
                  <c:v>343.1</c:v>
                </c:pt>
                <c:pt idx="3">
                  <c:v>390.4</c:v>
                </c:pt>
                <c:pt idx="4">
                  <c:v>1093.3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-1868561536"/>
        <c:axId val="-1868560992"/>
      </c:lineChart>
      <c:catAx>
        <c:axId val="-1868561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868560992"/>
        <c:crosses val="autoZero"/>
        <c:auto val="1"/>
        <c:lblAlgn val="ctr"/>
        <c:lblOffset val="100"/>
        <c:noMultiLvlLbl val="0"/>
      </c:catAx>
      <c:valAx>
        <c:axId val="-1868560992"/>
        <c:scaling>
          <c:orientation val="minMax"/>
          <c:max val="1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868561536"/>
        <c:crosses val="autoZero"/>
        <c:crossBetween val="between"/>
        <c:minorUnit val="20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инвестиции</c:v>
                </c:pt>
              </c:strCache>
            </c:strRef>
          </c:tx>
          <c:spPr>
            <a:solidFill>
              <a:srgbClr val="00B0F0">
                <a:alpha val="40000"/>
              </a:srgbClr>
            </a:solidFill>
          </c:spPr>
          <c:invertIfNegative val="0"/>
          <c:dLbls>
            <c:dLbl>
              <c:idx val="1"/>
              <c:layout>
                <c:manualLayout>
                  <c:x val="-1.120499207005517E-3"/>
                  <c:y val="1.65115382082616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7415836719040258E-2"/>
                  <c:y val="6.95359316644550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176560121765675E-2"/>
                  <c:y val="4.7789725209080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кв. 2017 г.</c:v>
                </c:pt>
                <c:pt idx="1">
                  <c:v>1 кв. 2018 г.</c:v>
                </c:pt>
                <c:pt idx="2">
                  <c:v>1 кв. 2019 г.</c:v>
                </c:pt>
                <c:pt idx="3">
                  <c:v>1 кв. 2020 г.</c:v>
                </c:pt>
                <c:pt idx="4">
                  <c:v>1 кв. 2021 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48.599999999999994</c:v>
                </c:pt>
                <c:pt idx="1">
                  <c:v>10.399999999999991</c:v>
                </c:pt>
                <c:pt idx="2">
                  <c:v>84.1</c:v>
                </c:pt>
                <c:pt idx="3">
                  <c:v>80.2</c:v>
                </c:pt>
                <c:pt idx="4">
                  <c:v>185.7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Внебюджетные средства (среднее предпринимательство)</c:v>
                </c:pt>
              </c:strCache>
            </c:strRef>
          </c:tx>
          <c:spPr>
            <a:solidFill>
              <a:srgbClr val="92D050">
                <a:alpha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1.217656012176562E-2"/>
                  <c:y val="-1.9115890083632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147133434804742E-2"/>
                  <c:y val="-8.761348409820210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29278474893835E-3"/>
                  <c:y val="-1.1732189390304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01471334348046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кв. 2017 г.</c:v>
                </c:pt>
                <c:pt idx="1">
                  <c:v>1 кв. 2018 г.</c:v>
                </c:pt>
                <c:pt idx="2">
                  <c:v>1 кв. 2019 г.</c:v>
                </c:pt>
                <c:pt idx="3">
                  <c:v>1 кв. 2020 г.</c:v>
                </c:pt>
                <c:pt idx="4">
                  <c:v>1 кв. 2021 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134.4</c:v>
                </c:pt>
                <c:pt idx="1">
                  <c:v>116.9</c:v>
                </c:pt>
                <c:pt idx="2">
                  <c:v>47.4</c:v>
                </c:pt>
                <c:pt idx="3">
                  <c:v>86.2</c:v>
                </c:pt>
                <c:pt idx="4">
                  <c:v>320.8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Внебюджетные средства (малое предпринимательство и физические лица)</c:v>
                </c:pt>
              </c:strCache>
            </c:strRef>
          </c:tx>
          <c:spPr>
            <a:solidFill>
              <a:srgbClr val="F30314">
                <a:alpha val="40000"/>
              </a:srgb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1 кв. 2017 г.</c:v>
                </c:pt>
                <c:pt idx="1">
                  <c:v>1 кв. 2018 г.</c:v>
                </c:pt>
                <c:pt idx="2">
                  <c:v>1 кв. 2019 г.</c:v>
                </c:pt>
                <c:pt idx="3">
                  <c:v>1 кв. 2020 г.</c:v>
                </c:pt>
                <c:pt idx="4">
                  <c:v>1 кв. 2021 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244.1</c:v>
                </c:pt>
                <c:pt idx="1">
                  <c:v>474.2</c:v>
                </c:pt>
                <c:pt idx="2">
                  <c:v>211.6</c:v>
                </c:pt>
                <c:pt idx="3">
                  <c:v>224</c:v>
                </c:pt>
                <c:pt idx="4">
                  <c:v>586.79999999999995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62431280"/>
        <c:axId val="-12703200"/>
      </c:barChart>
      <c:catAx>
        <c:axId val="-624312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-12703200"/>
        <c:crosses val="autoZero"/>
        <c:auto val="1"/>
        <c:lblAlgn val="ctr"/>
        <c:lblOffset val="100"/>
        <c:noMultiLvlLbl val="0"/>
      </c:catAx>
      <c:valAx>
        <c:axId val="-12703200"/>
        <c:scaling>
          <c:orientation val="minMax"/>
          <c:max val="6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62431280"/>
        <c:crosses val="autoZero"/>
        <c:crossBetween val="between"/>
        <c:minorUnit val="20"/>
      </c:valAx>
    </c:plotArea>
    <c:legend>
      <c:legendPos val="t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/>
      </a:pPr>
      <a:endParaRPr lang="ru-RU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E445968E9F49C89CD74FBA000DB0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D8CC7-5947-465B-98CD-9C56A1975B0F}"/>
      </w:docPartPr>
      <w:docPartBody>
        <w:p w:rsidR="00DB5F24" w:rsidRDefault="006916C6" w:rsidP="006916C6">
          <w:pPr>
            <w:pStyle w:val="D1E445968E9F49C89CD74FBA000DB01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C6"/>
    <w:rsid w:val="000C37B5"/>
    <w:rsid w:val="000E6882"/>
    <w:rsid w:val="005C237E"/>
    <w:rsid w:val="005C63B3"/>
    <w:rsid w:val="006916C6"/>
    <w:rsid w:val="007E3005"/>
    <w:rsid w:val="009B3A19"/>
    <w:rsid w:val="009F2387"/>
    <w:rsid w:val="00DB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445968E9F49C89CD74FBA000DB011">
    <w:name w:val="D1E445968E9F49C89CD74FBA000DB011"/>
    <w:rsid w:val="006916C6"/>
  </w:style>
  <w:style w:type="paragraph" w:customStyle="1" w:styleId="A4A188D7E2B64FB5AFE4C18EC7A8DF05">
    <w:name w:val="A4A188D7E2B64FB5AFE4C18EC7A8DF05"/>
    <w:rsid w:val="006916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Overrid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_rels/themeOverride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word/theme/themeOverride2.xml><?xml version="1.0" encoding="utf-8"?>
<a:themeOverride xmlns:a="http://schemas.openxmlformats.org/drawingml/2006/main">
  <a:clrScheme name="Апекс">
    <a:dk1>
      <a:sysClr val="windowText" lastClr="000000"/>
    </a:dk1>
    <a:lt1>
      <a:sysClr val="window" lastClr="FFFFFF"/>
    </a:lt1>
    <a:dk2>
      <a:srgbClr val="69676D"/>
    </a:dk2>
    <a:lt2>
      <a:srgbClr val="C9C2D1"/>
    </a:lt2>
    <a:accent1>
      <a:srgbClr val="CEB966"/>
    </a:accent1>
    <a:accent2>
      <a:srgbClr val="9CB084"/>
    </a:accent2>
    <a:accent3>
      <a:srgbClr val="6BB1C9"/>
    </a:accent3>
    <a:accent4>
      <a:srgbClr val="6585CF"/>
    </a:accent4>
    <a:accent5>
      <a:srgbClr val="7E6BC9"/>
    </a:accent5>
    <a:accent6>
      <a:srgbClr val="A379BB"/>
    </a:accent6>
    <a:hlink>
      <a:srgbClr val="410082"/>
    </a:hlink>
    <a:folHlink>
      <a:srgbClr val="932968"/>
    </a:folHlink>
  </a:clrScheme>
  <a:fontScheme name="Апекс">
    <a:majorFont>
      <a:latin typeface="Lucida Sans"/>
      <a:ea typeface=""/>
      <a:cs typeface=""/>
      <a:font script="Grek" typeface="Arial"/>
      <a:font script="Cyrl" typeface="Arial"/>
      <a:font script="Jpan" typeface="HG丸ｺﾞｼｯｸM-PRO"/>
      <a:font script="Hang" typeface="휴먼옛체"/>
      <a:font script="Hans" typeface="黑体"/>
      <a:font script="Hant" typeface="微軟正黑體"/>
      <a:font script="Arab" typeface="Tahoma"/>
      <a:font script="Hebr" typeface="Levenim MT"/>
      <a:font script="Thai" typeface="FreesiaUPC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ahoma"/>
      <a:font script="Uigh" typeface="Microsoft Uighur"/>
      <a:font script="Geor" typeface="Sylfaen"/>
    </a:majorFont>
    <a:minorFont>
      <a:latin typeface="Book Antiqua"/>
      <a:ea typeface=""/>
      <a:cs typeface=""/>
      <a:font script="Grek" typeface="Times New Roman"/>
      <a:font script="Cyrl" typeface="Times New Roman"/>
      <a:font script="Jpan" typeface="HG明朝B"/>
      <a:font script="Hang" typeface="돋움"/>
      <a:font script="Hans" typeface="宋体"/>
      <a:font script="Hant" typeface="新細明體"/>
      <a:font script="Arab" typeface="Times New Roman"/>
      <a:font script="Hebr" typeface="David"/>
      <a:font script="Thai" typeface="EucrosiaUPC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inorFont>
  </a:fontScheme>
  <a:fmtScheme name="Апекс">
    <a:fillStyleLst>
      <a:solidFill>
        <a:schemeClr val="phClr"/>
      </a:solidFill>
      <a:gradFill rotWithShape="1">
        <a:gsLst>
          <a:gs pos="20000">
            <a:schemeClr val="phClr">
              <a:tint val="9000"/>
            </a:schemeClr>
          </a:gs>
          <a:gs pos="100000">
            <a:schemeClr val="phClr">
              <a:tint val="70000"/>
              <a:satMod val="100000"/>
            </a:schemeClr>
          </a:gs>
        </a:gsLst>
        <a:path path="circle">
          <a:fillToRect l="-15000" t="-15000" r="115000" b="115000"/>
        </a:path>
      </a:gradFill>
      <a:gradFill rotWithShape="1">
        <a:gsLst>
          <a:gs pos="0">
            <a:schemeClr val="phClr">
              <a:shade val="60000"/>
            </a:schemeClr>
          </a:gs>
          <a:gs pos="33000">
            <a:schemeClr val="phClr">
              <a:tint val="86500"/>
            </a:schemeClr>
          </a:gs>
          <a:gs pos="46750">
            <a:schemeClr val="phClr">
              <a:tint val="71000"/>
              <a:satMod val="112000"/>
            </a:schemeClr>
          </a:gs>
          <a:gs pos="53000">
            <a:schemeClr val="phClr">
              <a:tint val="71000"/>
              <a:satMod val="112000"/>
            </a:schemeClr>
          </a:gs>
          <a:gs pos="68000">
            <a:schemeClr val="phClr">
              <a:tint val="86000"/>
            </a:schemeClr>
          </a:gs>
          <a:gs pos="100000">
            <a:schemeClr val="phClr">
              <a:shade val="60000"/>
            </a:schemeClr>
          </a:gs>
        </a:gsLst>
        <a:lin ang="8350000" scaled="1"/>
      </a:gradFill>
    </a:fillStyleLst>
    <a:lnStyleLst>
      <a:ln w="9525" cap="flat" cmpd="sng" algn="ctr">
        <a:solidFill>
          <a:schemeClr val="phClr">
            <a:shade val="48000"/>
            <a:satMod val="110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130000" dist="101600" dir="2700000" algn="tl" rotWithShape="0">
            <a:srgbClr val="000000">
              <a:alpha val="350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</a:effectStyle>
      <a:effectStyle>
        <a:effectLst>
          <a:outerShdw blurRad="190500" dist="228600" dir="2700000" sy="90000" rotWithShape="0">
            <a:srgbClr val="000000">
              <a:alpha val="25500"/>
            </a:srgbClr>
          </a:outerShdw>
        </a:effectLst>
        <a:scene3d>
          <a:camera prst="orthographicFront" fov="0">
            <a:rot lat="0" lon="0" rev="0"/>
          </a:camera>
          <a:lightRig rig="soft" dir="tl">
            <a:rot lat="0" lon="0" rev="20100000"/>
          </a:lightRig>
        </a:scene3d>
        <a:sp3d>
          <a:bevelT w="50800" h="508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50000"/>
              <a:satMod val="180000"/>
            </a:schemeClr>
          </a:gs>
          <a:gs pos="100000">
            <a:schemeClr val="phClr">
              <a:shade val="45000"/>
              <a:satMod val="120000"/>
            </a:schemeClr>
          </a:gs>
        </a:gsLst>
        <a:path path="circle">
          <a:fillToRect r="100000" b="100000"/>
        </a:path>
      </a:gradFill>
      <a:blipFill>
        <a:blip xmlns:r="http://schemas.openxmlformats.org/officeDocument/2006/relationships" r:embed="rId1">
          <a:duotone>
            <a:schemeClr val="phClr">
              <a:shade val="3000"/>
              <a:satMod val="110000"/>
            </a:schemeClr>
            <a:schemeClr val="phClr">
              <a:tint val="60000"/>
              <a:satMod val="425000"/>
            </a:schemeClr>
          </a:duotone>
        </a:blip>
        <a:stretch>
          <a:fillRect/>
        </a:stretch>
      </a:blip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D7D120-1204-43C4-BA31-71CED8D2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10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инвестиционной деятельности                               за 1 квартал 2021 года</vt:lpstr>
    </vt:vector>
  </TitlesOfParts>
  <Company>Microsoft</Company>
  <LinksUpToDate>false</LinksUpToDate>
  <CharactersWithSpaces>12299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инвестиционной деятельности                               за 1 квартал 2021 года</dc:title>
  <dc:subject/>
  <dc:creator>econom</dc:creator>
  <cp:lastModifiedBy>econom</cp:lastModifiedBy>
  <cp:revision>70</cp:revision>
  <cp:lastPrinted>2021-04-02T12:05:00Z</cp:lastPrinted>
  <dcterms:created xsi:type="dcterms:W3CDTF">2021-03-23T07:46:00Z</dcterms:created>
  <dcterms:modified xsi:type="dcterms:W3CDTF">2021-06-01T08:54:00Z</dcterms:modified>
</cp:coreProperties>
</file>