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FE" w:rsidRPr="00975AFE" w:rsidRDefault="00975AFE" w:rsidP="00975AFE">
      <w:pPr>
        <w:shd w:val="clear" w:color="auto" w:fill="FFFFFF"/>
        <w:spacing w:after="0" w:line="240" w:lineRule="exact"/>
        <w:rPr>
          <w:rFonts w:ascii="Times New Roman" w:eastAsia="Times New Roman" w:hAnsi="Times New Roman" w:cs="Times New Roman"/>
          <w:sz w:val="28"/>
          <w:szCs w:val="28"/>
          <w:lang w:eastAsia="ru-RU"/>
        </w:rPr>
      </w:pPr>
    </w:p>
    <w:p w:rsidR="00975AFE" w:rsidRPr="00133A75" w:rsidRDefault="00975AFE" w:rsidP="00975AFE">
      <w:pPr>
        <w:spacing w:after="0" w:line="276" w:lineRule="auto"/>
        <w:jc w:val="right"/>
        <w:rPr>
          <w:rFonts w:ascii="Times New Roman" w:eastAsia="Calibri" w:hAnsi="Times New Roman" w:cs="Arial"/>
          <w:sz w:val="28"/>
        </w:rPr>
      </w:pPr>
      <w:r w:rsidRPr="00133A75">
        <w:rPr>
          <w:rFonts w:ascii="Times New Roman" w:eastAsia="Calibri" w:hAnsi="Times New Roman" w:cs="Arial"/>
          <w:sz w:val="28"/>
        </w:rPr>
        <w:t>Приложение 3</w:t>
      </w:r>
    </w:p>
    <w:p w:rsidR="00975AFE" w:rsidRPr="00975AFE" w:rsidRDefault="00975AFE" w:rsidP="00975AFE">
      <w:pPr>
        <w:spacing w:after="0" w:line="276" w:lineRule="auto"/>
        <w:jc w:val="both"/>
        <w:rPr>
          <w:rFonts w:ascii="Times New Roman" w:eastAsia="Calibri" w:hAnsi="Times New Roman" w:cs="Arial"/>
          <w:sz w:val="28"/>
        </w:rPr>
      </w:pPr>
    </w:p>
    <w:p w:rsidR="00975AFE" w:rsidRPr="00975AFE" w:rsidRDefault="00975AFE" w:rsidP="00975AFE">
      <w:pPr>
        <w:spacing w:after="0" w:line="276" w:lineRule="auto"/>
        <w:jc w:val="center"/>
        <w:rPr>
          <w:rFonts w:ascii="Times New Roman" w:eastAsia="Calibri" w:hAnsi="Times New Roman" w:cs="Arial"/>
          <w:sz w:val="28"/>
        </w:rPr>
      </w:pPr>
      <w:r>
        <w:rPr>
          <w:rFonts w:ascii="Times New Roman" w:eastAsia="Calibri" w:hAnsi="Times New Roman" w:cs="Arial"/>
          <w:sz w:val="28"/>
        </w:rPr>
        <w:t>Льготы и поддержка</w:t>
      </w:r>
      <w:r w:rsidRPr="00975AFE">
        <w:rPr>
          <w:rFonts w:ascii="Times New Roman" w:eastAsia="Calibri" w:hAnsi="Times New Roman" w:cs="Arial"/>
          <w:sz w:val="28"/>
        </w:rPr>
        <w:t xml:space="preserve"> инвестор</w:t>
      </w:r>
      <w:r>
        <w:rPr>
          <w:rFonts w:ascii="Times New Roman" w:eastAsia="Calibri" w:hAnsi="Times New Roman" w:cs="Arial"/>
          <w:sz w:val="28"/>
        </w:rPr>
        <w:t>ов</w:t>
      </w:r>
    </w:p>
    <w:p w:rsidR="00975AFE" w:rsidRPr="00975AFE" w:rsidRDefault="00975AFE" w:rsidP="00975AFE">
      <w:pPr>
        <w:spacing w:after="0" w:line="276" w:lineRule="auto"/>
        <w:jc w:val="both"/>
        <w:rPr>
          <w:rFonts w:ascii="Times New Roman" w:eastAsia="Calibri" w:hAnsi="Times New Roman" w:cs="Arial"/>
          <w:sz w:val="28"/>
        </w:rPr>
      </w:pPr>
    </w:p>
    <w:p w:rsidR="00975AFE" w:rsidRPr="00975AFE" w:rsidRDefault="00975AFE" w:rsidP="00975AFE">
      <w:pPr>
        <w:spacing w:after="0" w:line="276" w:lineRule="auto"/>
        <w:ind w:firstLine="567"/>
        <w:jc w:val="both"/>
        <w:rPr>
          <w:rFonts w:ascii="Times New Roman" w:eastAsia="Calibri" w:hAnsi="Times New Roman" w:cs="Arial"/>
          <w:b/>
          <w:sz w:val="28"/>
        </w:rPr>
      </w:pPr>
      <w:r w:rsidRPr="00975AFE">
        <w:rPr>
          <w:rFonts w:ascii="Times New Roman" w:eastAsia="Calibri" w:hAnsi="Times New Roman" w:cs="Arial"/>
          <w:b/>
          <w:sz w:val="28"/>
        </w:rPr>
        <w:t>1. Федеральная поддержка.</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1. Постановление Правительства РФ от 07.12.2019 № 1619 «Об утверждении Правил предоставления субсидий из федерального бюджета на </w:t>
      </w:r>
      <w:proofErr w:type="spellStart"/>
      <w:r w:rsidRPr="00975AFE">
        <w:rPr>
          <w:rFonts w:ascii="Times New Roman" w:eastAsia="Calibri" w:hAnsi="Times New Roman" w:cs="Arial"/>
          <w:sz w:val="28"/>
        </w:rPr>
        <w:t>грантовую</w:t>
      </w:r>
      <w:proofErr w:type="spellEnd"/>
      <w:r w:rsidRPr="00975AFE">
        <w:rPr>
          <w:rFonts w:ascii="Times New Roman" w:eastAsia="Calibri" w:hAnsi="Times New Roman" w:cs="Arial"/>
          <w:sz w:val="28"/>
        </w:rPr>
        <w:t xml:space="preserve"> поддержку общественных и предпринимательских инициатив, направленных на развитие внутреннего и въездного туризма»;</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2. Постановление Правительства РФ от 19.10.2020 № 1704 «Об утверждении правил определения новых инвестиционных проектов, в целях реализации которых средства бюджета субъекта РФ, высвобождаемые в результате снижения объема погашения задолженности субъекта РФ перед РФ по бюджетным кредитам, подлежат направлению на осуществление субъектом РФ бюджетных инвестиций в объекты инфраструктуры»;</w:t>
      </w:r>
    </w:p>
    <w:p w:rsidR="00975AFE" w:rsidRPr="004C307C"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В соответствии с пунктами 1-3 Постановления Правительства РФ возможно привлечение средств бюджета субъекта РФ в форме предоставления субсидий юридическим лицам в объеме фактически произведенных ими затрат на модернизацию и (или) реконструкцию объектов инфраструктуры, на оплату услуг по проведению проектно-изыскательских работ и работ по разработке проектно-сметной документации для объектов инфраструктуры в рамках создаваемых инвестиц</w:t>
      </w:r>
      <w:r w:rsidR="004C307C">
        <w:rPr>
          <w:rFonts w:ascii="Times New Roman" w:eastAsia="Calibri" w:hAnsi="Times New Roman" w:cs="Arial"/>
          <w:sz w:val="28"/>
        </w:rPr>
        <w:t>ионных проектов в сфере туризма</w:t>
      </w:r>
      <w:r w:rsidR="004C307C" w:rsidRPr="004C307C">
        <w:rPr>
          <w:rFonts w:ascii="Times New Roman" w:eastAsia="Calibri" w:hAnsi="Times New Roman" w:cs="Arial"/>
          <w:sz w:val="28"/>
        </w:rPr>
        <w:t>;</w:t>
      </w:r>
    </w:p>
    <w:p w:rsid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3. Привлечение </w:t>
      </w:r>
      <w:proofErr w:type="gramStart"/>
      <w:r w:rsidRPr="00975AFE">
        <w:rPr>
          <w:rFonts w:ascii="Times New Roman" w:eastAsia="Calibri" w:hAnsi="Times New Roman" w:cs="Arial"/>
          <w:sz w:val="28"/>
        </w:rPr>
        <w:t>финансирования  в</w:t>
      </w:r>
      <w:proofErr w:type="gramEnd"/>
      <w:r w:rsidRPr="00975AFE">
        <w:rPr>
          <w:rFonts w:ascii="Times New Roman" w:eastAsia="Calibri" w:hAnsi="Times New Roman" w:cs="Arial"/>
          <w:sz w:val="28"/>
        </w:rPr>
        <w:t xml:space="preserve"> рамках программ государственной корпорации развития ВЭБ.РФ в форме кредитования проектов, гарантий и поручительства, участи</w:t>
      </w:r>
      <w:r w:rsidR="004C307C">
        <w:rPr>
          <w:rFonts w:ascii="Times New Roman" w:eastAsia="Calibri" w:hAnsi="Times New Roman" w:cs="Arial"/>
          <w:sz w:val="28"/>
        </w:rPr>
        <w:t>я в уставных капиталах компаний;</w:t>
      </w:r>
    </w:p>
    <w:p w:rsidR="00E6329B" w:rsidRDefault="0082098F" w:rsidP="00E6329B">
      <w:pPr>
        <w:spacing w:after="0" w:line="276" w:lineRule="auto"/>
        <w:ind w:firstLine="567"/>
        <w:jc w:val="both"/>
        <w:rPr>
          <w:rFonts w:ascii="Times New Roman" w:eastAsia="Calibri" w:hAnsi="Times New Roman" w:cs="Arial"/>
          <w:sz w:val="28"/>
        </w:rPr>
      </w:pPr>
      <w:r w:rsidRPr="0082098F">
        <w:rPr>
          <w:rFonts w:ascii="Times New Roman" w:eastAsia="Calibri" w:hAnsi="Times New Roman" w:cs="Arial"/>
          <w:sz w:val="28"/>
        </w:rPr>
        <w:t>4.</w:t>
      </w:r>
      <w:r>
        <w:rPr>
          <w:rFonts w:ascii="Times New Roman" w:eastAsia="Calibri" w:hAnsi="Times New Roman" w:cs="Arial"/>
          <w:sz w:val="28"/>
        </w:rPr>
        <w:t xml:space="preserve"> </w:t>
      </w:r>
      <w:r w:rsidRPr="0082098F">
        <w:rPr>
          <w:rFonts w:ascii="Times New Roman" w:eastAsia="Calibri" w:hAnsi="Times New Roman" w:cs="Arial"/>
          <w:sz w:val="28"/>
        </w:rPr>
        <w:t xml:space="preserve">Федеральным агентством по туризму с 9 июля 2021 года объявлено о начале действия программы льготного кредитования в соответствии с постановлением Правительства РФ от 09 февраля 2021 г. № 141 для реализации инвестиционных проектов, необходимых для устойчивого развития внутреннего и въездного туризма, создания и развития  туристических кластеров будут предусмотрены льготные (инфраструктурные кредиты), предоставляемые инвесторам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w:t>
      </w:r>
      <w:r w:rsidR="00E6329B">
        <w:rPr>
          <w:rFonts w:ascii="Times New Roman" w:eastAsia="Calibri" w:hAnsi="Times New Roman" w:cs="Arial"/>
          <w:sz w:val="28"/>
        </w:rPr>
        <w:t>для современного использования.</w:t>
      </w:r>
    </w:p>
    <w:p w:rsidR="00E6329B" w:rsidRDefault="0082098F" w:rsidP="00E6329B">
      <w:pPr>
        <w:spacing w:after="0" w:line="276" w:lineRule="auto"/>
        <w:ind w:firstLine="567"/>
        <w:jc w:val="both"/>
        <w:rPr>
          <w:rFonts w:ascii="Times New Roman" w:eastAsia="Calibri" w:hAnsi="Times New Roman" w:cs="Arial"/>
          <w:sz w:val="28"/>
        </w:rPr>
      </w:pPr>
      <w:r w:rsidRPr="0082098F">
        <w:rPr>
          <w:rFonts w:ascii="Times New Roman" w:eastAsia="Calibri" w:hAnsi="Times New Roman" w:cs="Arial"/>
          <w:sz w:val="28"/>
        </w:rPr>
        <w:t>Срок выдачи кредита до 15 лет включительно, процентная ставка по кредитному договору (соглашению) составляет не менее 3 процентов и не более 5 процентов годовых.</w:t>
      </w:r>
    </w:p>
    <w:p w:rsidR="00E6329B" w:rsidRDefault="00E6329B" w:rsidP="00E6329B">
      <w:pPr>
        <w:spacing w:after="0" w:line="276" w:lineRule="auto"/>
        <w:ind w:firstLine="567"/>
        <w:jc w:val="both"/>
        <w:rPr>
          <w:rFonts w:ascii="Times New Roman" w:eastAsia="Calibri" w:hAnsi="Times New Roman" w:cs="Arial"/>
          <w:sz w:val="28"/>
        </w:rPr>
      </w:pPr>
      <w:r>
        <w:rPr>
          <w:rFonts w:ascii="Times New Roman" w:eastAsia="Calibri" w:hAnsi="Times New Roman" w:cs="Arial"/>
          <w:sz w:val="28"/>
        </w:rPr>
        <w:lastRenderedPageBreak/>
        <w:t>К</w:t>
      </w:r>
      <w:r w:rsidR="0082098F" w:rsidRPr="0082098F">
        <w:rPr>
          <w:rFonts w:ascii="Times New Roman" w:eastAsia="Calibri" w:hAnsi="Times New Roman" w:cs="Arial"/>
          <w:sz w:val="28"/>
        </w:rPr>
        <w:t xml:space="preserve">редит возможно получить на инвестиционный проект (гостиница (категория не менее «три звезды») площадью не менее 5000 кв. м. или номерным фондом от 120 номеров или многофункциональные комплексы, предусматривающие номерной фонд санитарно-курортных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w:t>
      </w:r>
      <w:proofErr w:type="spellStart"/>
      <w:r w:rsidR="0082098F" w:rsidRPr="0082098F">
        <w:rPr>
          <w:rFonts w:ascii="Times New Roman" w:eastAsia="Calibri" w:hAnsi="Times New Roman" w:cs="Arial"/>
          <w:sz w:val="28"/>
        </w:rPr>
        <w:t>оснежения.</w:t>
      </w:r>
      <w:proofErr w:type="spellEnd"/>
    </w:p>
    <w:p w:rsidR="0082098F" w:rsidRDefault="0082098F" w:rsidP="00E6329B">
      <w:pPr>
        <w:spacing w:after="0" w:line="276" w:lineRule="auto"/>
        <w:ind w:firstLine="567"/>
        <w:jc w:val="both"/>
        <w:rPr>
          <w:rFonts w:ascii="Times New Roman" w:eastAsia="Calibri" w:hAnsi="Times New Roman" w:cs="Arial"/>
          <w:sz w:val="28"/>
        </w:rPr>
      </w:pPr>
      <w:r w:rsidRPr="0082098F">
        <w:rPr>
          <w:rFonts w:ascii="Times New Roman" w:eastAsia="Calibri" w:hAnsi="Times New Roman" w:cs="Arial"/>
          <w:sz w:val="28"/>
        </w:rPr>
        <w:t xml:space="preserve">Согласно утвержденным критериям размер кредита может варьироваться от 100 млн. до 70 млрд. рублей, а сам проект должен быть в высокой степени </w:t>
      </w:r>
      <w:r w:rsidR="00E6329B" w:rsidRPr="0082098F">
        <w:rPr>
          <w:rFonts w:ascii="Times New Roman" w:eastAsia="Calibri" w:hAnsi="Times New Roman" w:cs="Arial"/>
          <w:sz w:val="28"/>
        </w:rPr>
        <w:t>проработки</w:t>
      </w:r>
      <w:r w:rsidRPr="0082098F">
        <w:rPr>
          <w:rFonts w:ascii="Times New Roman" w:eastAsia="Calibri" w:hAnsi="Times New Roman" w:cs="Arial"/>
          <w:sz w:val="28"/>
        </w:rPr>
        <w:t>: получены документы на землю, разработан бизнес-план, а также проект должен пройти кредитный комитет в банке.  Необходимо отметить, что важным фактором при отборе инвестиционных проектов будет являться объем средств уже профинансированных будущим собственником и доля собственных средс</w:t>
      </w:r>
      <w:r w:rsidR="004C307C">
        <w:rPr>
          <w:rFonts w:ascii="Times New Roman" w:eastAsia="Calibri" w:hAnsi="Times New Roman" w:cs="Arial"/>
          <w:sz w:val="28"/>
        </w:rPr>
        <w:t>тв инвестора вложенных в проект.</w:t>
      </w:r>
      <w:bookmarkStart w:id="0" w:name="_GoBack"/>
      <w:bookmarkEnd w:id="0"/>
    </w:p>
    <w:p w:rsidR="00E6329B" w:rsidRDefault="00E6329B" w:rsidP="00E6329B">
      <w:pPr>
        <w:spacing w:after="0" w:line="276" w:lineRule="auto"/>
        <w:ind w:firstLine="567"/>
        <w:jc w:val="both"/>
        <w:rPr>
          <w:rFonts w:ascii="Times New Roman" w:eastAsia="Calibri" w:hAnsi="Times New Roman" w:cs="Arial"/>
          <w:sz w:val="28"/>
        </w:rPr>
      </w:pPr>
      <w:r>
        <w:rPr>
          <w:rFonts w:ascii="Times New Roman" w:eastAsia="Calibri" w:hAnsi="Times New Roman" w:cs="Arial"/>
          <w:sz w:val="28"/>
        </w:rPr>
        <w:t>Ссылка</w:t>
      </w:r>
      <w:r w:rsidRPr="00E6329B">
        <w:rPr>
          <w:rFonts w:ascii="Times New Roman" w:eastAsia="Calibri" w:hAnsi="Times New Roman" w:cs="Arial"/>
          <w:sz w:val="28"/>
        </w:rPr>
        <w:t>:</w:t>
      </w:r>
      <w:r>
        <w:rPr>
          <w:rFonts w:ascii="Times New Roman" w:eastAsia="Calibri" w:hAnsi="Times New Roman" w:cs="Arial"/>
          <w:sz w:val="28"/>
        </w:rPr>
        <w:t xml:space="preserve"> </w:t>
      </w:r>
      <w:hyperlink r:id="rId5" w:history="1">
        <w:r w:rsidRPr="005C0B6B">
          <w:rPr>
            <w:rStyle w:val="a5"/>
            <w:rFonts w:ascii="Times New Roman" w:eastAsia="Calibri" w:hAnsi="Times New Roman" w:cs="Arial"/>
            <w:sz w:val="28"/>
          </w:rPr>
          <w:t>https://tourism.gov.ru/contents/documenty/lgotnoe-kreditovanie-v-turizme/dokumenti/</w:t>
        </w:r>
      </w:hyperlink>
      <w:r>
        <w:rPr>
          <w:rFonts w:ascii="Times New Roman" w:eastAsia="Calibri" w:hAnsi="Times New Roman" w:cs="Arial"/>
          <w:sz w:val="28"/>
        </w:rPr>
        <w:t xml:space="preserve"> </w:t>
      </w:r>
    </w:p>
    <w:p w:rsidR="00E6329B" w:rsidRDefault="0082098F" w:rsidP="00E6329B">
      <w:pPr>
        <w:spacing w:after="0" w:line="276" w:lineRule="auto"/>
        <w:ind w:firstLine="567"/>
        <w:jc w:val="both"/>
        <w:rPr>
          <w:rFonts w:ascii="Times New Roman" w:eastAsia="Calibri" w:hAnsi="Times New Roman" w:cs="Arial"/>
          <w:sz w:val="28"/>
        </w:rPr>
      </w:pPr>
      <w:r w:rsidRPr="00E6329B">
        <w:rPr>
          <w:rFonts w:ascii="Times New Roman" w:eastAsia="Calibri" w:hAnsi="Times New Roman" w:cs="Arial"/>
          <w:sz w:val="28"/>
        </w:rPr>
        <w:t xml:space="preserve">5. </w:t>
      </w:r>
      <w:r w:rsidR="00E6329B" w:rsidRPr="00E6329B">
        <w:rPr>
          <w:rFonts w:ascii="Times New Roman" w:eastAsia="Calibri" w:hAnsi="Times New Roman" w:cs="Arial"/>
          <w:sz w:val="28"/>
        </w:rPr>
        <w:t xml:space="preserve">Субсидии на </w:t>
      </w:r>
      <w:proofErr w:type="spellStart"/>
      <w:r w:rsidR="00E6329B" w:rsidRPr="00E6329B">
        <w:rPr>
          <w:rFonts w:ascii="Times New Roman" w:eastAsia="Calibri" w:hAnsi="Times New Roman" w:cs="Arial"/>
          <w:sz w:val="28"/>
        </w:rPr>
        <w:t>софинансирование</w:t>
      </w:r>
      <w:proofErr w:type="spellEnd"/>
      <w:r w:rsidR="00E6329B" w:rsidRPr="00E6329B">
        <w:rPr>
          <w:rFonts w:ascii="Times New Roman" w:eastAsia="Calibri" w:hAnsi="Times New Roman" w:cs="Arial"/>
          <w:sz w:val="28"/>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sidR="00E6329B">
        <w:rPr>
          <w:rFonts w:ascii="Times New Roman" w:eastAsia="Calibri" w:hAnsi="Times New Roman" w:cs="Arial"/>
          <w:sz w:val="28"/>
        </w:rPr>
        <w:t xml:space="preserve"> в рамках </w:t>
      </w:r>
      <w:r w:rsidR="00E6329B" w:rsidRPr="00E6329B">
        <w:rPr>
          <w:rFonts w:ascii="Times New Roman" w:eastAsia="Calibri" w:hAnsi="Times New Roman" w:cs="Arial"/>
          <w:b/>
          <w:sz w:val="28"/>
        </w:rPr>
        <w:t>подпрограммы «Туризм»</w:t>
      </w:r>
      <w:r w:rsidR="00E6329B">
        <w:rPr>
          <w:rFonts w:ascii="Times New Roman" w:eastAsia="Calibri" w:hAnsi="Times New Roman" w:cs="Arial"/>
          <w:sz w:val="28"/>
        </w:rPr>
        <w:t xml:space="preserve"> государственной программы РФ «Экономическое развитие и инновационная экономика», утвержденной</w:t>
      </w:r>
      <w:r w:rsidR="00E6329B" w:rsidRPr="00E6329B">
        <w:t xml:space="preserve"> </w:t>
      </w:r>
      <w:r w:rsidR="00E6329B" w:rsidRPr="00E6329B">
        <w:rPr>
          <w:rFonts w:ascii="Times New Roman" w:eastAsia="Calibri" w:hAnsi="Times New Roman" w:cs="Arial"/>
          <w:sz w:val="28"/>
        </w:rPr>
        <w:t>Постановление</w:t>
      </w:r>
      <w:r w:rsidR="00E6329B">
        <w:rPr>
          <w:rFonts w:ascii="Times New Roman" w:eastAsia="Calibri" w:hAnsi="Times New Roman" w:cs="Arial"/>
          <w:sz w:val="28"/>
        </w:rPr>
        <w:t>м</w:t>
      </w:r>
      <w:r w:rsidR="00E6329B" w:rsidRPr="00E6329B">
        <w:rPr>
          <w:rFonts w:ascii="Times New Roman" w:eastAsia="Calibri" w:hAnsi="Times New Roman" w:cs="Arial"/>
          <w:sz w:val="28"/>
        </w:rPr>
        <w:t xml:space="preserve"> Правительства РФ от 15.04.2014 </w:t>
      </w:r>
      <w:r w:rsidR="00E6329B">
        <w:rPr>
          <w:rFonts w:ascii="Times New Roman" w:eastAsia="Calibri" w:hAnsi="Times New Roman" w:cs="Arial"/>
          <w:sz w:val="28"/>
        </w:rPr>
        <w:t>№ 316 «</w:t>
      </w:r>
      <w:r w:rsidR="00E6329B" w:rsidRPr="00E6329B">
        <w:rPr>
          <w:rFonts w:ascii="Times New Roman" w:eastAsia="Calibri" w:hAnsi="Times New Roman" w:cs="Arial"/>
          <w:sz w:val="28"/>
        </w:rPr>
        <w:t>Об утверждении государственной программы Российской Федерации "Экономическое раз</w:t>
      </w:r>
      <w:r w:rsidR="00E6329B">
        <w:rPr>
          <w:rFonts w:ascii="Times New Roman" w:eastAsia="Calibri" w:hAnsi="Times New Roman" w:cs="Arial"/>
          <w:sz w:val="28"/>
        </w:rPr>
        <w:t>витие и инновационная экономика».</w:t>
      </w:r>
    </w:p>
    <w:p w:rsidR="00975AFE" w:rsidRPr="00975AFE" w:rsidRDefault="00975AFE" w:rsidP="00E6329B">
      <w:pPr>
        <w:spacing w:after="0" w:line="276" w:lineRule="auto"/>
        <w:jc w:val="both"/>
        <w:rPr>
          <w:rFonts w:ascii="Times New Roman" w:eastAsia="Calibri" w:hAnsi="Times New Roman" w:cs="Arial"/>
          <w:sz w:val="28"/>
        </w:rPr>
      </w:pP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b/>
          <w:sz w:val="28"/>
        </w:rPr>
        <w:t xml:space="preserve">2. Льготы Ставропольского края. </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Предоставляются инвесторам, реализующим особо значимые инвестиционные проекты. Особо значимый инвестиционный проект - инвестиционный проект, реализуемый инвестором на территории Ставропольского края, который соответствует приоритетным направлениям инвестиционной деятельности на территории Ставропольского края и предусматривает капитальные вложения в объекты основных средств на сумму свыше 300 млн. рублей.</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1.1. По налогу на прибыль организаций. </w:t>
      </w:r>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(ст.13 </w:t>
      </w:r>
      <w:r w:rsidRPr="00975AFE">
        <w:rPr>
          <w:rFonts w:ascii="Times New Roman" w:eastAsia="Calibri" w:hAnsi="Times New Roman" w:cs="Arial"/>
          <w:color w:val="0000FF"/>
          <w:sz w:val="28"/>
          <w:u w:val="single"/>
        </w:rPr>
        <w:t>Закона Ставропольского края от 01.10.2007 № 55-кз «Об инвестиционной деятельности в Ставропольском крае</w:t>
      </w:r>
      <w:proofErr w:type="gramStart"/>
      <w:r w:rsidRPr="00975AFE">
        <w:rPr>
          <w:rFonts w:ascii="Times New Roman" w:eastAsia="Calibri" w:hAnsi="Times New Roman" w:cs="Arial"/>
          <w:color w:val="0000FF"/>
          <w:sz w:val="28"/>
          <w:u w:val="single"/>
        </w:rPr>
        <w:t>» </w:t>
      </w:r>
      <w:r w:rsidRPr="00975AFE">
        <w:rPr>
          <w:rFonts w:ascii="Times New Roman" w:eastAsia="Calibri" w:hAnsi="Times New Roman" w:cs="Arial"/>
          <w:sz w:val="28"/>
        </w:rPr>
        <w:t>)</w:t>
      </w:r>
      <w:proofErr w:type="gramEnd"/>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lastRenderedPageBreak/>
        <w:t>Снижение ставки налога на прибыль организаций, подлежащего зачислению в бюджет Ставропольского края и рассчитанного от прибыли, полученной от реализации особо значимого инвестиционного проекта, снижается на:</w:t>
      </w:r>
    </w:p>
    <w:p w:rsidR="00975AFE" w:rsidRPr="00975AFE" w:rsidRDefault="00975AFE" w:rsidP="00975AFE">
      <w:pPr>
        <w:numPr>
          <w:ilvl w:val="0"/>
          <w:numId w:val="1"/>
        </w:num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3,5 процента - при осуществлении капитальных вложений в рамках реализации особо значимого инвестиционного проекта на общую сумму от 300 млн. рублей до 500 млн. рублей;</w:t>
      </w:r>
    </w:p>
    <w:p w:rsidR="00975AFE" w:rsidRPr="00975AFE" w:rsidRDefault="00975AFE" w:rsidP="00975AFE">
      <w:pPr>
        <w:numPr>
          <w:ilvl w:val="0"/>
          <w:numId w:val="1"/>
        </w:num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4 процента - при осуществлении капитальных вложений в рамках реализации особо значимого инвестиционного проекта на общую сумму от 500 млн. рублей до 1000 млн. рублей;</w:t>
      </w:r>
    </w:p>
    <w:p w:rsidR="00975AFE" w:rsidRPr="00975AFE" w:rsidRDefault="00975AFE" w:rsidP="00975AFE">
      <w:pPr>
        <w:numPr>
          <w:ilvl w:val="0"/>
          <w:numId w:val="1"/>
        </w:num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4,5 процента - при осуществлении капитальных вложений в рамках реализации особо значимого инвестиционного проекта на общую сумму свыше 1000 млн. рублей</w:t>
      </w:r>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Налоговые преимущества, предусмотренные настоящей частью, предоставляются на срок не более 5 лет с начала налогового периода, в котором получена прибыль от реализации особо значимого инвестиционного проекта.</w:t>
      </w:r>
    </w:p>
    <w:p w:rsidR="00975AFE" w:rsidRPr="00975AFE" w:rsidRDefault="00975AFE" w:rsidP="00975AFE">
      <w:pPr>
        <w:spacing w:after="0" w:line="276" w:lineRule="auto"/>
        <w:jc w:val="both"/>
        <w:rPr>
          <w:rFonts w:ascii="Times New Roman" w:eastAsia="Calibri" w:hAnsi="Times New Roman" w:cs="Arial"/>
          <w:sz w:val="28"/>
        </w:rPr>
      </w:pPr>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1.2. По налогу на имущество организаций.</w:t>
      </w:r>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(по налогу на имущество организаций в ст. 2.1. </w:t>
      </w:r>
      <w:hyperlink r:id="rId6" w:history="1">
        <w:r w:rsidRPr="00975AFE">
          <w:rPr>
            <w:rFonts w:ascii="Times New Roman" w:eastAsia="Calibri" w:hAnsi="Times New Roman" w:cs="Arial"/>
            <w:color w:val="0000FF"/>
            <w:sz w:val="28"/>
            <w:u w:val="single"/>
          </w:rPr>
          <w:t>Закона Ставропольского края от 20.11.2003 №44-кз «О налоге на имущество организаций»</w:t>
        </w:r>
      </w:hyperlink>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Предоставляется в отношении имущества, созданного или приобретенного организацией-инвестором в рамках реализации на территории Ставропольского края в соответствии с инвестиционным соглашением, заключенным с Правительством Ставропольского края, инвестиционного проекта с суммарным объемом инвестиций </w:t>
      </w:r>
      <w:r w:rsidRPr="00975AFE">
        <w:rPr>
          <w:rFonts w:ascii="Times New Roman" w:eastAsia="Calibri" w:hAnsi="Times New Roman" w:cs="Arial"/>
          <w:b/>
          <w:bCs/>
          <w:sz w:val="28"/>
        </w:rPr>
        <w:t>свыше 300 000 тыс. рублей.</w:t>
      </w:r>
    </w:p>
    <w:p w:rsidR="00975AFE" w:rsidRPr="00975AFE" w:rsidRDefault="00975AFE" w:rsidP="00975AFE">
      <w:pPr>
        <w:spacing w:after="0" w:line="276" w:lineRule="auto"/>
        <w:jc w:val="both"/>
        <w:rPr>
          <w:rFonts w:ascii="Times New Roman" w:eastAsia="Calibri" w:hAnsi="Times New Roman" w:cs="Arial"/>
          <w:sz w:val="28"/>
        </w:rPr>
      </w:pPr>
      <w:r w:rsidRPr="00975AFE">
        <w:rPr>
          <w:rFonts w:ascii="Times New Roman" w:eastAsia="Calibri" w:hAnsi="Times New Roman" w:cs="Arial"/>
          <w:sz w:val="28"/>
        </w:rPr>
        <w:t>Налоговое преимущество (льгота) для данной категории получателей:</w:t>
      </w:r>
    </w:p>
    <w:p w:rsidR="00975AFE" w:rsidRPr="00975AFE" w:rsidRDefault="00975AFE" w:rsidP="00975AFE">
      <w:pPr>
        <w:numPr>
          <w:ilvl w:val="0"/>
          <w:numId w:val="2"/>
        </w:numPr>
        <w:spacing w:after="0" w:line="276" w:lineRule="auto"/>
        <w:contextualSpacing/>
        <w:jc w:val="both"/>
        <w:rPr>
          <w:rFonts w:ascii="Times New Roman" w:eastAsia="Calibri" w:hAnsi="Times New Roman" w:cs="Arial"/>
          <w:sz w:val="28"/>
        </w:rPr>
      </w:pPr>
      <w:r w:rsidRPr="00975AFE">
        <w:rPr>
          <w:rFonts w:ascii="Times New Roman" w:eastAsia="Calibri" w:hAnsi="Times New Roman" w:cs="Arial"/>
          <w:sz w:val="28"/>
        </w:rPr>
        <w:t>Освобождение от налога на имущество организаций, подлежащего зачислению в бюджет Ставропольского края</w:t>
      </w:r>
    </w:p>
    <w:p w:rsidR="00975AFE" w:rsidRPr="00975AFE" w:rsidRDefault="00975AFE" w:rsidP="00975AFE">
      <w:pPr>
        <w:numPr>
          <w:ilvl w:val="0"/>
          <w:numId w:val="2"/>
        </w:numPr>
        <w:spacing w:after="0" w:line="276" w:lineRule="auto"/>
        <w:contextualSpacing/>
        <w:jc w:val="both"/>
        <w:rPr>
          <w:rFonts w:ascii="Times New Roman" w:eastAsia="Calibri" w:hAnsi="Times New Roman" w:cs="Arial"/>
          <w:sz w:val="28"/>
        </w:rPr>
      </w:pPr>
      <w:r w:rsidRPr="00975AFE">
        <w:rPr>
          <w:rFonts w:ascii="Times New Roman" w:eastAsia="Calibri" w:hAnsi="Times New Roman" w:cs="Arial"/>
          <w:sz w:val="28"/>
        </w:rPr>
        <w:t>Налоговая льгота предоставляется на срок фактической окупаемости инвестиционного проекта в пределах расчетного срока окупаемости инвестиционного проекта, </w:t>
      </w:r>
      <w:r w:rsidRPr="00975AFE">
        <w:rPr>
          <w:rFonts w:ascii="Times New Roman" w:eastAsia="Calibri" w:hAnsi="Times New Roman" w:cs="Arial"/>
          <w:b/>
          <w:bCs/>
          <w:sz w:val="28"/>
        </w:rPr>
        <w:t>но не более 5 лет</w:t>
      </w:r>
      <w:r w:rsidRPr="00975AFE">
        <w:rPr>
          <w:rFonts w:ascii="Times New Roman" w:eastAsia="Calibri" w:hAnsi="Times New Roman" w:cs="Arial"/>
          <w:sz w:val="28"/>
        </w:rPr>
        <w:t> с первого числа месяца, следующего за месяцем, в котором имущество было принято этой организацией к бухгалтерскому учету в качестве объекта основных средств</w:t>
      </w:r>
    </w:p>
    <w:p w:rsidR="00975AFE" w:rsidRPr="00975AFE" w:rsidRDefault="00975AFE" w:rsidP="00975AFE">
      <w:pPr>
        <w:spacing w:after="0" w:line="276" w:lineRule="auto"/>
        <w:jc w:val="both"/>
        <w:rPr>
          <w:rFonts w:ascii="Times New Roman" w:eastAsia="Calibri" w:hAnsi="Times New Roman" w:cs="Arial"/>
          <w:sz w:val="28"/>
        </w:rPr>
      </w:pPr>
    </w:p>
    <w:p w:rsidR="00975AFE" w:rsidRPr="00975AFE" w:rsidRDefault="00975AFE" w:rsidP="00975AFE">
      <w:pPr>
        <w:spacing w:after="0" w:line="276" w:lineRule="auto"/>
        <w:jc w:val="both"/>
        <w:rPr>
          <w:rFonts w:ascii="Times New Roman" w:eastAsia="Calibri" w:hAnsi="Times New Roman" w:cs="Arial"/>
          <w:b/>
          <w:sz w:val="28"/>
        </w:rPr>
      </w:pPr>
    </w:p>
    <w:p w:rsidR="00975AFE" w:rsidRPr="00975AFE" w:rsidRDefault="00975AFE" w:rsidP="00975AFE">
      <w:pPr>
        <w:spacing w:after="0" w:line="276" w:lineRule="auto"/>
        <w:ind w:firstLine="567"/>
        <w:jc w:val="both"/>
        <w:rPr>
          <w:rFonts w:ascii="Times New Roman" w:eastAsia="Calibri" w:hAnsi="Times New Roman" w:cs="Arial"/>
          <w:b/>
          <w:sz w:val="28"/>
        </w:rPr>
      </w:pPr>
      <w:r w:rsidRPr="00975AFE">
        <w:rPr>
          <w:rFonts w:ascii="Times New Roman" w:eastAsia="Calibri" w:hAnsi="Times New Roman" w:cs="Arial"/>
          <w:b/>
          <w:sz w:val="28"/>
        </w:rPr>
        <w:t>3. Муниципальные льготы.</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Решением Думы города-курорта Кисловодска от 28.04.2021 г. № 43-521 установлено: </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lastRenderedPageBreak/>
        <w:t>- снижение на 50% процентов ставки арендной платы в отношении земельных участков, используемых для реализации инвестиционных проектов, соответствующих приоритетным направлениям инвестиционной деятельности на территории города-курорта Кисловодска, за исключением проектов по строительству новых, реконструкции и развитию действующих объектов рекреационного назначения.</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 снижение на 95% процентов ставки арендной платы в отношении земельных участков, используемых для реализации инвестиционных проектов, соответствующих приоритетным направлениям инвестиционной деятельности на территории города-курорта Кисловодска, по строительству новых, реконструкции и развитию действующих объектов рекреационного назначения.</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Решение Думы г. Кисловодска размещено на сайте администрации города-курорта Кисловодска. </w:t>
      </w:r>
    </w:p>
    <w:p w:rsidR="00975AFE" w:rsidRPr="00975AFE" w:rsidRDefault="00975AFE" w:rsidP="00975AFE">
      <w:pPr>
        <w:spacing w:after="0" w:line="276" w:lineRule="auto"/>
        <w:ind w:firstLine="567"/>
        <w:jc w:val="both"/>
        <w:rPr>
          <w:rFonts w:ascii="Times New Roman" w:eastAsia="Calibri" w:hAnsi="Times New Roman" w:cs="Arial"/>
          <w:sz w:val="28"/>
        </w:rPr>
      </w:pPr>
      <w:r w:rsidRPr="00975AFE">
        <w:rPr>
          <w:rFonts w:ascii="Times New Roman" w:eastAsia="Calibri" w:hAnsi="Times New Roman" w:cs="Arial"/>
          <w:sz w:val="28"/>
        </w:rPr>
        <w:t xml:space="preserve">Ссылка: </w:t>
      </w:r>
      <w:hyperlink r:id="rId7" w:history="1">
        <w:r w:rsidRPr="00975AFE">
          <w:rPr>
            <w:rFonts w:ascii="Times New Roman" w:eastAsia="Calibri" w:hAnsi="Times New Roman" w:cs="Arial"/>
            <w:color w:val="0000FF"/>
            <w:sz w:val="28"/>
            <w:u w:val="single"/>
            <w:lang w:val="en-US"/>
          </w:rPr>
          <w:t>https</w:t>
        </w:r>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kislovodsk</w:t>
        </w:r>
        <w:proofErr w:type="spellEnd"/>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kurort</w:t>
        </w:r>
        <w:proofErr w:type="spellEnd"/>
        <w:r w:rsidRPr="00975AFE">
          <w:rPr>
            <w:rFonts w:ascii="Times New Roman" w:eastAsia="Calibri" w:hAnsi="Times New Roman" w:cs="Arial"/>
            <w:color w:val="0000FF"/>
            <w:sz w:val="28"/>
            <w:u w:val="single"/>
          </w:rPr>
          <w:t>.</w:t>
        </w:r>
        <w:r w:rsidRPr="00975AFE">
          <w:rPr>
            <w:rFonts w:ascii="Times New Roman" w:eastAsia="Calibri" w:hAnsi="Times New Roman" w:cs="Arial"/>
            <w:color w:val="0000FF"/>
            <w:sz w:val="28"/>
            <w:u w:val="single"/>
            <w:lang w:val="en-US"/>
          </w:rPr>
          <w:t>org</w:t>
        </w:r>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investitsii</w:t>
        </w:r>
        <w:proofErr w:type="spellEnd"/>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munitsipalnye</w:t>
        </w:r>
        <w:proofErr w:type="spellEnd"/>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normativnye</w:t>
        </w:r>
        <w:proofErr w:type="spellEnd"/>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akty</w:t>
        </w:r>
        <w:proofErr w:type="spellEnd"/>
        <w:r w:rsidRPr="00975AFE">
          <w:rPr>
            <w:rFonts w:ascii="Times New Roman" w:eastAsia="Calibri" w:hAnsi="Times New Roman" w:cs="Arial"/>
            <w:color w:val="0000FF"/>
            <w:sz w:val="28"/>
            <w:u w:val="single"/>
          </w:rPr>
          <w:t>-</w:t>
        </w:r>
        <w:proofErr w:type="spellStart"/>
        <w:r w:rsidRPr="00975AFE">
          <w:rPr>
            <w:rFonts w:ascii="Times New Roman" w:eastAsia="Calibri" w:hAnsi="Times New Roman" w:cs="Arial"/>
            <w:color w:val="0000FF"/>
            <w:sz w:val="28"/>
            <w:u w:val="single"/>
            <w:lang w:val="en-US"/>
          </w:rPr>
          <w:t>investitsii</w:t>
        </w:r>
        <w:proofErr w:type="spellEnd"/>
      </w:hyperlink>
      <w:r w:rsidRPr="00975AFE">
        <w:rPr>
          <w:rFonts w:ascii="Times New Roman" w:eastAsia="Calibri" w:hAnsi="Times New Roman" w:cs="Arial"/>
          <w:sz w:val="28"/>
        </w:rPr>
        <w:t xml:space="preserve"> </w:t>
      </w:r>
    </w:p>
    <w:p w:rsidR="00975AFE" w:rsidRDefault="00975AFE"/>
    <w:sectPr w:rsidR="0097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A3038"/>
    <w:multiLevelType w:val="multilevel"/>
    <w:tmpl w:val="462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F4927"/>
    <w:multiLevelType w:val="hybridMultilevel"/>
    <w:tmpl w:val="4860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FE"/>
    <w:rsid w:val="00133A75"/>
    <w:rsid w:val="004C307C"/>
    <w:rsid w:val="00503117"/>
    <w:rsid w:val="0082098F"/>
    <w:rsid w:val="00975AFE"/>
    <w:rsid w:val="00E6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0254-EABB-4D72-AD8E-34EA2342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9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098F"/>
    <w:rPr>
      <w:rFonts w:ascii="Segoe UI" w:hAnsi="Segoe UI" w:cs="Segoe UI"/>
      <w:sz w:val="18"/>
      <w:szCs w:val="18"/>
    </w:rPr>
  </w:style>
  <w:style w:type="character" w:styleId="a5">
    <w:name w:val="Hyperlink"/>
    <w:basedOn w:val="a0"/>
    <w:uiPriority w:val="99"/>
    <w:unhideWhenUsed/>
    <w:rsid w:val="00E63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slovodsk-kurort.org/investitsii/munitsipalnye-normativnye-akty-investi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vinvest.ru/upload/iblock/83c/83c706b8866402d45750826336542373.doc" TargetMode="External"/><Relationship Id="rId5" Type="http://schemas.openxmlformats.org/officeDocument/2006/relationships/hyperlink" Target="https://tourism.gov.ru/contents/documenty/lgotnoe-kreditovanie-v-turizme/dokumen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cp:revision>
  <cp:lastPrinted>2021-08-16T11:17:00Z</cp:lastPrinted>
  <dcterms:created xsi:type="dcterms:W3CDTF">2021-08-16T12:08:00Z</dcterms:created>
  <dcterms:modified xsi:type="dcterms:W3CDTF">2021-08-16T12:08:00Z</dcterms:modified>
</cp:coreProperties>
</file>